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F38D" w14:textId="77777777" w:rsidR="0004347B" w:rsidRPr="0004347B" w:rsidRDefault="0004347B" w:rsidP="00011E72">
      <w:pPr>
        <w:pStyle w:val="NoSpacing"/>
        <w:jc w:val="center"/>
        <w:rPr>
          <w:rFonts w:ascii="Garamond" w:hAnsi="Garamond"/>
          <w:b/>
          <w:sz w:val="24"/>
          <w:lang w:val="en-US"/>
        </w:rPr>
      </w:pPr>
    </w:p>
    <w:p w14:paraId="6AF23014" w14:textId="2C0291C1" w:rsidR="00354FAD" w:rsidRDefault="0049502A" w:rsidP="004A770D">
      <w:pPr>
        <w:pStyle w:val="NoSpacing"/>
        <w:rPr>
          <w:rFonts w:ascii="Saya FY" w:hAnsi="Saya FY"/>
          <w:b/>
          <w:sz w:val="28"/>
          <w:lang w:val="en-US"/>
        </w:rPr>
      </w:pPr>
      <w:r>
        <w:rPr>
          <w:rFonts w:ascii="Saya FY" w:hAnsi="Saya FY"/>
          <w:b/>
          <w:sz w:val="28"/>
          <w:lang w:val="en-US"/>
        </w:rPr>
        <w:t xml:space="preserve">Frontclear </w:t>
      </w:r>
      <w:r w:rsidR="00D743B4">
        <w:rPr>
          <w:rFonts w:ascii="Saya FY" w:hAnsi="Saya FY"/>
          <w:b/>
          <w:sz w:val="28"/>
          <w:lang w:val="en-US"/>
        </w:rPr>
        <w:t xml:space="preserve">closes a first NDF with Unibank </w:t>
      </w:r>
      <w:r w:rsidR="0085161E">
        <w:rPr>
          <w:rFonts w:ascii="Saya FY" w:hAnsi="Saya FY"/>
          <w:b/>
          <w:sz w:val="28"/>
          <w:lang w:val="en-US"/>
        </w:rPr>
        <w:t xml:space="preserve">and TCX </w:t>
      </w:r>
      <w:r w:rsidR="00C643A7">
        <w:rPr>
          <w:rFonts w:ascii="Saya FY" w:hAnsi="Saya FY"/>
          <w:b/>
          <w:sz w:val="28"/>
          <w:lang w:val="en-US"/>
        </w:rPr>
        <w:t xml:space="preserve">in </w:t>
      </w:r>
      <w:r w:rsidR="00AE73D6">
        <w:rPr>
          <w:rFonts w:ascii="Saya FY" w:hAnsi="Saya FY"/>
          <w:b/>
          <w:sz w:val="28"/>
          <w:lang w:val="en-US"/>
        </w:rPr>
        <w:t xml:space="preserve">Azerbaijan </w:t>
      </w:r>
    </w:p>
    <w:p w14:paraId="682B5085" w14:textId="77777777" w:rsidR="00E1717D" w:rsidRDefault="00E1717D" w:rsidP="004A770D">
      <w:pPr>
        <w:pStyle w:val="NoSpacing"/>
        <w:rPr>
          <w:rFonts w:ascii="Saya FY" w:hAnsi="Saya FY"/>
          <w:b/>
          <w:sz w:val="28"/>
          <w:lang w:val="en-US"/>
        </w:rPr>
      </w:pPr>
    </w:p>
    <w:p w14:paraId="04007514" w14:textId="5C61FC54" w:rsidR="00F87ED8" w:rsidRPr="00F87ED8" w:rsidRDefault="00993C29" w:rsidP="00F87ED8">
      <w:pPr>
        <w:pStyle w:val="NoSpacing"/>
        <w:jc w:val="both"/>
        <w:rPr>
          <w:rFonts w:ascii="Saya FY" w:hAnsi="Saya FY"/>
          <w:b/>
          <w:bCs/>
          <w:lang w:val="en-US"/>
        </w:rPr>
      </w:pPr>
      <w:r>
        <w:rPr>
          <w:rFonts w:ascii="Saya FY" w:hAnsi="Saya FY"/>
          <w:b/>
          <w:lang w:val="en-US"/>
        </w:rPr>
        <w:t>January 2020</w:t>
      </w:r>
      <w:r w:rsidR="00E328BB" w:rsidRPr="00930860">
        <w:rPr>
          <w:rFonts w:ascii="Saya FY" w:hAnsi="Saya FY"/>
          <w:b/>
          <w:lang w:val="en-US"/>
        </w:rPr>
        <w:t>.</w:t>
      </w:r>
      <w:r w:rsidR="00CC7718" w:rsidRPr="00930860">
        <w:rPr>
          <w:rFonts w:ascii="Saya FY" w:hAnsi="Saya FY"/>
          <w:b/>
          <w:lang w:val="en-US"/>
        </w:rPr>
        <w:t xml:space="preserve"> </w:t>
      </w:r>
      <w:r w:rsidR="00D04742" w:rsidRPr="00930860">
        <w:rPr>
          <w:rFonts w:ascii="Saya FY" w:hAnsi="Saya FY"/>
          <w:b/>
          <w:lang w:val="en-US"/>
        </w:rPr>
        <w:t>Frontclear</w:t>
      </w:r>
      <w:r w:rsidR="00AE73D6">
        <w:rPr>
          <w:rFonts w:ascii="Saya FY" w:hAnsi="Saya FY"/>
          <w:b/>
          <w:lang w:val="en-US"/>
        </w:rPr>
        <w:t xml:space="preserve"> </w:t>
      </w:r>
      <w:r w:rsidR="00A701E4">
        <w:rPr>
          <w:rFonts w:ascii="Saya FY" w:hAnsi="Saya FY"/>
          <w:b/>
          <w:lang w:val="en-US"/>
        </w:rPr>
        <w:t xml:space="preserve">arranged and structured </w:t>
      </w:r>
      <w:r w:rsidR="00D04742" w:rsidRPr="00930860">
        <w:rPr>
          <w:rFonts w:ascii="Saya FY" w:hAnsi="Saya FY"/>
          <w:b/>
          <w:lang w:val="en-US"/>
        </w:rPr>
        <w:t>a US</w:t>
      </w:r>
      <w:r w:rsidR="000A6B69" w:rsidRPr="00930860">
        <w:rPr>
          <w:rFonts w:ascii="Saya FY" w:hAnsi="Saya FY"/>
          <w:b/>
          <w:lang w:val="en-US"/>
        </w:rPr>
        <w:t>D</w:t>
      </w:r>
      <w:r w:rsidR="00680C54">
        <w:rPr>
          <w:rFonts w:ascii="Saya FY" w:hAnsi="Saya FY"/>
          <w:b/>
          <w:lang w:val="en-US"/>
        </w:rPr>
        <w:t xml:space="preserve"> single-digit m</w:t>
      </w:r>
      <w:r w:rsidR="00D04742" w:rsidRPr="00930860">
        <w:rPr>
          <w:rFonts w:ascii="Saya FY" w:hAnsi="Saya FY"/>
          <w:b/>
          <w:lang w:val="en-US"/>
        </w:rPr>
        <w:t>illion</w:t>
      </w:r>
      <w:r w:rsidR="00680C54">
        <w:rPr>
          <w:rFonts w:ascii="Saya FY" w:hAnsi="Saya FY"/>
          <w:b/>
          <w:lang w:val="en-US"/>
        </w:rPr>
        <w:t>s</w:t>
      </w:r>
      <w:r w:rsidR="00D04742" w:rsidRPr="00930860">
        <w:rPr>
          <w:rFonts w:ascii="Saya FY" w:hAnsi="Saya FY"/>
          <w:b/>
          <w:lang w:val="en-US"/>
        </w:rPr>
        <w:t xml:space="preserve"> </w:t>
      </w:r>
      <w:r w:rsidR="00AE73D6">
        <w:rPr>
          <w:rFonts w:ascii="Saya FY" w:hAnsi="Saya FY"/>
          <w:b/>
          <w:lang w:val="en-US"/>
        </w:rPr>
        <w:t xml:space="preserve">AZN/USD non-deliverable </w:t>
      </w:r>
      <w:r w:rsidR="00A701E4">
        <w:rPr>
          <w:rFonts w:ascii="Saya FY" w:hAnsi="Saya FY"/>
          <w:b/>
          <w:lang w:val="en-US"/>
        </w:rPr>
        <w:t xml:space="preserve">forward </w:t>
      </w:r>
      <w:r w:rsidR="00D743B4">
        <w:rPr>
          <w:rFonts w:ascii="Saya FY" w:hAnsi="Saya FY"/>
          <w:b/>
          <w:lang w:val="en-US"/>
        </w:rPr>
        <w:t xml:space="preserve">(NDF) </w:t>
      </w:r>
      <w:r w:rsidR="00A701E4">
        <w:rPr>
          <w:rFonts w:ascii="Saya FY" w:hAnsi="Saya FY"/>
          <w:b/>
          <w:lang w:val="en-US"/>
        </w:rPr>
        <w:t xml:space="preserve">transaction with </w:t>
      </w:r>
      <w:r w:rsidR="009D038B" w:rsidRPr="009D038B">
        <w:rPr>
          <w:rFonts w:ascii="Saya FY" w:hAnsi="Saya FY"/>
          <w:b/>
          <w:lang w:val="en-US"/>
        </w:rPr>
        <w:t>Unibank Commercial Bank OJSC</w:t>
      </w:r>
      <w:r w:rsidR="009D4685">
        <w:rPr>
          <w:rFonts w:ascii="Saya FY" w:hAnsi="Saya FY"/>
          <w:b/>
          <w:lang w:val="en-US"/>
        </w:rPr>
        <w:t xml:space="preserve"> (Unibank</w:t>
      </w:r>
      <w:r w:rsidR="009D4685" w:rsidRPr="00F87ED8">
        <w:rPr>
          <w:rFonts w:ascii="Saya FY" w:hAnsi="Saya FY"/>
          <w:b/>
          <w:lang w:val="en-US"/>
        </w:rPr>
        <w:t>)</w:t>
      </w:r>
      <w:r w:rsidR="00053413" w:rsidRPr="00F87ED8">
        <w:rPr>
          <w:rFonts w:ascii="Saya FY" w:hAnsi="Saya FY"/>
          <w:b/>
          <w:lang w:val="en-US"/>
        </w:rPr>
        <w:t>.</w:t>
      </w:r>
      <w:r w:rsidR="00F92EF2" w:rsidRPr="00F87ED8">
        <w:rPr>
          <w:rFonts w:ascii="Saya FY" w:hAnsi="Saya FY"/>
          <w:b/>
          <w:lang w:val="en-US"/>
        </w:rPr>
        <w:t xml:space="preserve"> </w:t>
      </w:r>
      <w:r w:rsidR="00F87ED8" w:rsidRPr="001848B3">
        <w:rPr>
          <w:rFonts w:ascii="Saya FY" w:hAnsi="Saya FY"/>
          <w:b/>
          <w:bCs/>
          <w:lang w:val="en-US"/>
        </w:rPr>
        <w:t>This transaction has made it possible for Unibank to effectively convert their USD liabilities into AZN liabilities, allowing for Unibank to provide</w:t>
      </w:r>
      <w:r w:rsidR="001848B3" w:rsidRPr="001848B3">
        <w:rPr>
          <w:rFonts w:ascii="Saya FY" w:hAnsi="Saya FY"/>
          <w:b/>
          <w:bCs/>
          <w:lang w:val="en-US"/>
        </w:rPr>
        <w:t xml:space="preserve"> </w:t>
      </w:r>
      <w:r w:rsidR="001848B3" w:rsidRPr="00870759">
        <w:rPr>
          <w:rFonts w:ascii="Saya FY" w:hAnsi="Saya FY"/>
          <w:b/>
          <w:bCs/>
          <w:lang w:val="en-US"/>
        </w:rPr>
        <w:t>additional opportunities for</w:t>
      </w:r>
      <w:r w:rsidR="00F87ED8" w:rsidRPr="001848B3">
        <w:rPr>
          <w:rFonts w:ascii="Saya FY" w:hAnsi="Saya FY"/>
          <w:b/>
          <w:bCs/>
          <w:lang w:val="en-US"/>
        </w:rPr>
        <w:t xml:space="preserve"> local currency financing to its clients.</w:t>
      </w:r>
      <w:r w:rsidR="00F87ED8" w:rsidRPr="00F87ED8">
        <w:rPr>
          <w:rFonts w:ascii="Saya FY" w:hAnsi="Saya FY"/>
          <w:b/>
          <w:bCs/>
          <w:lang w:val="en-US"/>
        </w:rPr>
        <w:t xml:space="preserve">  The NDF transaction is documented under an International Swap and Derivatives Association (ISDA) </w:t>
      </w:r>
      <w:r w:rsidR="00F87ED8">
        <w:rPr>
          <w:rFonts w:ascii="Saya FY" w:hAnsi="Saya FY"/>
          <w:b/>
          <w:bCs/>
          <w:lang w:val="en-US"/>
        </w:rPr>
        <w:t>A</w:t>
      </w:r>
      <w:r w:rsidR="00F87ED8" w:rsidRPr="00F87ED8">
        <w:rPr>
          <w:rFonts w:ascii="Saya FY" w:hAnsi="Saya FY"/>
          <w:b/>
          <w:bCs/>
          <w:lang w:val="en-US"/>
        </w:rPr>
        <w:t xml:space="preserve">greement, whereby Frontclear customized the confirmation to overcome legal issues in the Azerbaijani market.  </w:t>
      </w:r>
    </w:p>
    <w:p w14:paraId="69D7B289" w14:textId="7EAD30E1" w:rsidR="009D038B" w:rsidRPr="00F87ED8" w:rsidRDefault="009D038B" w:rsidP="007F6589">
      <w:pPr>
        <w:pStyle w:val="NoSpacing"/>
        <w:jc w:val="both"/>
        <w:rPr>
          <w:rFonts w:ascii="Saya FY" w:hAnsi="Saya FY"/>
          <w:b/>
          <w:lang w:val="en-US"/>
        </w:rPr>
      </w:pPr>
    </w:p>
    <w:p w14:paraId="613B99A0" w14:textId="3B4FF42E" w:rsidR="00B94B17" w:rsidRPr="00F87ED8" w:rsidRDefault="0085161E" w:rsidP="00F87ED8">
      <w:pPr>
        <w:pStyle w:val="NoSpacing"/>
        <w:jc w:val="both"/>
        <w:rPr>
          <w:rFonts w:ascii="Saya FY" w:hAnsi="Saya FY"/>
          <w:i/>
          <w:iCs/>
          <w:lang w:val="en-US"/>
        </w:rPr>
      </w:pPr>
      <w:r w:rsidRPr="00F87ED8">
        <w:rPr>
          <w:rFonts w:ascii="Saya FY" w:hAnsi="Saya FY"/>
          <w:lang w:val="en-US"/>
        </w:rPr>
        <w:t>After the double devaluation of the Manat in 2016, the banking system went through several years of turmoil</w:t>
      </w:r>
      <w:r w:rsidR="00B94B17" w:rsidRPr="00F87ED8">
        <w:rPr>
          <w:rFonts w:ascii="Saya FY" w:hAnsi="Saya FY"/>
          <w:lang w:val="en-US"/>
        </w:rPr>
        <w:t>. A</w:t>
      </w:r>
      <w:r w:rsidRPr="00F87ED8">
        <w:rPr>
          <w:rFonts w:ascii="Saya FY" w:hAnsi="Saya FY"/>
          <w:lang w:val="en-US"/>
        </w:rPr>
        <w:t xml:space="preserve">ccess to foreign direct investment was significantly constrained. 2019 marked a cornerstone for the Azeri banking sector. </w:t>
      </w:r>
      <w:r w:rsidR="00B94B17" w:rsidRPr="00F87ED8">
        <w:rPr>
          <w:rFonts w:ascii="Saya FY" w:hAnsi="Saya FY"/>
          <w:lang w:val="en-US"/>
        </w:rPr>
        <w:t>B</w:t>
      </w:r>
      <w:r w:rsidRPr="00F87ED8">
        <w:rPr>
          <w:rFonts w:ascii="Saya FY" w:hAnsi="Saya FY"/>
          <w:lang w:val="en-US"/>
        </w:rPr>
        <w:t xml:space="preserve">anks willing to respond to </w:t>
      </w:r>
      <w:r w:rsidR="00B94B17" w:rsidRPr="00F87ED8">
        <w:rPr>
          <w:rFonts w:ascii="Saya FY" w:hAnsi="Saya FY"/>
          <w:lang w:val="en-US"/>
        </w:rPr>
        <w:t>a recovering market and increased</w:t>
      </w:r>
      <w:r w:rsidRPr="00F87ED8">
        <w:rPr>
          <w:rFonts w:ascii="Saya FY" w:hAnsi="Saya FY"/>
          <w:lang w:val="en-US"/>
        </w:rPr>
        <w:t xml:space="preserve"> credit growth, </w:t>
      </w:r>
      <w:r w:rsidR="00B94B17" w:rsidRPr="00F87ED8">
        <w:rPr>
          <w:rFonts w:ascii="Saya FY" w:hAnsi="Saya FY"/>
          <w:lang w:val="en-US"/>
        </w:rPr>
        <w:t xml:space="preserve">faced </w:t>
      </w:r>
      <w:r w:rsidR="00613B75" w:rsidRPr="00F87ED8">
        <w:rPr>
          <w:rFonts w:ascii="Saya FY" w:hAnsi="Saya FY"/>
          <w:lang w:val="en-US"/>
        </w:rPr>
        <w:t xml:space="preserve">multiple challenges.  Credit, legal and operational risks made it an issue for Azerbaijani banks to access global capital markets while </w:t>
      </w:r>
      <w:r w:rsidR="00F87ED8">
        <w:rPr>
          <w:rFonts w:ascii="Saya FY" w:hAnsi="Saya FY"/>
          <w:lang w:val="en-US"/>
        </w:rPr>
        <w:t xml:space="preserve">simultaneously </w:t>
      </w:r>
      <w:r w:rsidR="00613B75" w:rsidRPr="00F87ED8">
        <w:rPr>
          <w:rFonts w:ascii="Saya FY" w:hAnsi="Saya FY"/>
          <w:lang w:val="en-US"/>
        </w:rPr>
        <w:t xml:space="preserve">they were confronted </w:t>
      </w:r>
      <w:r w:rsidR="00F87ED8" w:rsidRPr="00F87ED8">
        <w:rPr>
          <w:rFonts w:ascii="Saya FY" w:hAnsi="Saya FY"/>
          <w:lang w:val="en-US"/>
        </w:rPr>
        <w:t>by difficulties</w:t>
      </w:r>
      <w:r w:rsidR="00613B75" w:rsidRPr="00F87ED8">
        <w:rPr>
          <w:rFonts w:ascii="Saya FY" w:hAnsi="Saya FY"/>
          <w:lang w:val="en-US"/>
        </w:rPr>
        <w:t xml:space="preserve"> </w:t>
      </w:r>
      <w:r w:rsidRPr="00F87ED8">
        <w:rPr>
          <w:rFonts w:ascii="Saya FY" w:hAnsi="Saya FY"/>
          <w:lang w:val="en-US"/>
        </w:rPr>
        <w:t>matching assets and liabilities and</w:t>
      </w:r>
      <w:r w:rsidR="00B94B17" w:rsidRPr="00F87ED8">
        <w:rPr>
          <w:rFonts w:ascii="Saya FY" w:hAnsi="Saya FY"/>
          <w:lang w:val="en-US"/>
        </w:rPr>
        <w:t xml:space="preserve"> a growing </w:t>
      </w:r>
      <w:r w:rsidRPr="00F87ED8">
        <w:rPr>
          <w:rFonts w:ascii="Saya FY" w:hAnsi="Saya FY"/>
          <w:lang w:val="en-US"/>
        </w:rPr>
        <w:t>need for currency hedging solutions.</w:t>
      </w:r>
    </w:p>
    <w:p w14:paraId="3283AA97" w14:textId="77777777" w:rsidR="00A85556" w:rsidRPr="00F87ED8" w:rsidRDefault="00A85556" w:rsidP="00A85556">
      <w:pPr>
        <w:pStyle w:val="NoSpacing"/>
        <w:jc w:val="both"/>
        <w:rPr>
          <w:rFonts w:ascii="Saya FY" w:hAnsi="Saya FY"/>
          <w:lang w:val="en-US"/>
        </w:rPr>
      </w:pPr>
    </w:p>
    <w:p w14:paraId="00342B04" w14:textId="43CA4DE9" w:rsidR="00A85556" w:rsidRPr="00F87ED8" w:rsidRDefault="00A85556" w:rsidP="00A85556">
      <w:pPr>
        <w:pStyle w:val="NoSpacing"/>
        <w:jc w:val="both"/>
        <w:rPr>
          <w:rFonts w:ascii="Saya FY" w:hAnsi="Saya FY"/>
          <w:lang w:val="en-US"/>
        </w:rPr>
      </w:pPr>
      <w:r w:rsidRPr="00F87ED8">
        <w:rPr>
          <w:rFonts w:ascii="Saya FY" w:hAnsi="Saya FY"/>
          <w:lang w:val="en-US"/>
        </w:rPr>
        <w:t>The transaction helped to further clarify certain legal issues related to close</w:t>
      </w:r>
      <w:r w:rsidR="00B23D52" w:rsidRPr="00F87ED8">
        <w:rPr>
          <w:rFonts w:ascii="Saya FY" w:hAnsi="Saya FY"/>
          <w:lang w:val="en-US"/>
        </w:rPr>
        <w:t>-</w:t>
      </w:r>
      <w:r w:rsidRPr="00F87ED8">
        <w:rPr>
          <w:rFonts w:ascii="Saya FY" w:hAnsi="Saya FY"/>
          <w:lang w:val="en-US"/>
        </w:rPr>
        <w:t xml:space="preserve">out netting in </w:t>
      </w:r>
      <w:r w:rsidR="00CD01EC" w:rsidRPr="00F87ED8">
        <w:rPr>
          <w:rFonts w:ascii="Saya FY" w:hAnsi="Saya FY"/>
          <w:lang w:val="en-US"/>
        </w:rPr>
        <w:t>Azerbaijan</w:t>
      </w:r>
      <w:r w:rsidRPr="00F87ED8">
        <w:rPr>
          <w:rFonts w:ascii="Saya FY" w:hAnsi="Saya FY"/>
          <w:lang w:val="en-US"/>
        </w:rPr>
        <w:t xml:space="preserve">, which were mitigated by effective Frontclear deal arranging and structuring.  Frontclear is already planning further technical assistance in </w:t>
      </w:r>
      <w:r w:rsidR="00CD01EC" w:rsidRPr="00F87ED8">
        <w:rPr>
          <w:rFonts w:ascii="Saya FY" w:hAnsi="Saya FY"/>
          <w:lang w:val="en-US"/>
        </w:rPr>
        <w:t>Azerbaijan</w:t>
      </w:r>
      <w:r w:rsidR="00EC78C6" w:rsidRPr="00F87ED8">
        <w:rPr>
          <w:rFonts w:ascii="Saya FY" w:hAnsi="Saya FY"/>
          <w:lang w:val="en-US"/>
        </w:rPr>
        <w:t>, including a</w:t>
      </w:r>
      <w:r w:rsidR="006E2ED6" w:rsidRPr="00F87ED8">
        <w:rPr>
          <w:rFonts w:ascii="Saya FY" w:hAnsi="Saya FY"/>
          <w:lang w:val="en-US"/>
        </w:rPr>
        <w:t xml:space="preserve"> seminar Money Market Matters.  The latter gives regulatory and market participants </w:t>
      </w:r>
      <w:r w:rsidR="00044AFD" w:rsidRPr="00F87ED8">
        <w:rPr>
          <w:rFonts w:ascii="Saya FY" w:hAnsi="Saya FY"/>
          <w:lang w:val="en-US"/>
        </w:rPr>
        <w:t xml:space="preserve">a detailed overview of </w:t>
      </w:r>
      <w:r w:rsidR="006E2ED6" w:rsidRPr="00F87ED8">
        <w:rPr>
          <w:rFonts w:ascii="Saya FY" w:hAnsi="Saya FY"/>
          <w:lang w:val="en-US"/>
        </w:rPr>
        <w:t xml:space="preserve">the </w:t>
      </w:r>
      <w:r w:rsidR="000D08A1" w:rsidRPr="00F87ED8">
        <w:rPr>
          <w:rFonts w:ascii="Saya FY" w:hAnsi="Saya FY"/>
          <w:lang w:val="en-US"/>
        </w:rPr>
        <w:t xml:space="preserve">structure and functions of </w:t>
      </w:r>
      <w:r w:rsidR="00FE277E" w:rsidRPr="00F87ED8">
        <w:rPr>
          <w:rFonts w:ascii="Saya FY" w:hAnsi="Saya FY"/>
          <w:lang w:val="en-US"/>
        </w:rPr>
        <w:t xml:space="preserve">a stable and inclusive money market.  </w:t>
      </w:r>
      <w:r w:rsidR="00106282" w:rsidRPr="00F87ED8">
        <w:rPr>
          <w:rFonts w:ascii="Saya FY" w:hAnsi="Saya FY"/>
          <w:lang w:val="en-US"/>
        </w:rPr>
        <w:t xml:space="preserve">The session will </w:t>
      </w:r>
      <w:r w:rsidR="002F3733" w:rsidRPr="00F87ED8">
        <w:rPr>
          <w:rFonts w:ascii="Saya FY" w:hAnsi="Saya FY"/>
          <w:lang w:val="en-US"/>
        </w:rPr>
        <w:t xml:space="preserve">address key system issues </w:t>
      </w:r>
      <w:r w:rsidRPr="00F87ED8">
        <w:rPr>
          <w:rFonts w:ascii="Saya FY" w:hAnsi="Saya FY"/>
          <w:lang w:val="en-US"/>
        </w:rPr>
        <w:t xml:space="preserve">preventing </w:t>
      </w:r>
      <w:r w:rsidR="00DC6792" w:rsidRPr="00F87ED8">
        <w:rPr>
          <w:rFonts w:ascii="Saya FY" w:hAnsi="Saya FY"/>
          <w:lang w:val="en-US"/>
        </w:rPr>
        <w:t xml:space="preserve">Azerbaijani </w:t>
      </w:r>
      <w:r w:rsidRPr="00F87ED8">
        <w:rPr>
          <w:rFonts w:ascii="Saya FY" w:hAnsi="Saya FY"/>
          <w:lang w:val="en-US"/>
        </w:rPr>
        <w:t xml:space="preserve">banks </w:t>
      </w:r>
      <w:r w:rsidR="002F3733" w:rsidRPr="00F87ED8">
        <w:rPr>
          <w:rFonts w:ascii="Saya FY" w:hAnsi="Saya FY"/>
          <w:lang w:val="en-US"/>
        </w:rPr>
        <w:t>from</w:t>
      </w:r>
      <w:r w:rsidRPr="00F87ED8">
        <w:rPr>
          <w:rFonts w:ascii="Saya FY" w:hAnsi="Saya FY"/>
          <w:lang w:val="en-US"/>
        </w:rPr>
        <w:t xml:space="preserve"> accessing global funding and </w:t>
      </w:r>
      <w:r w:rsidR="002F3733" w:rsidRPr="00F87ED8">
        <w:rPr>
          <w:rFonts w:ascii="Saya FY" w:hAnsi="Saya FY"/>
          <w:lang w:val="en-US"/>
        </w:rPr>
        <w:t>will be followed-up by practical market training</w:t>
      </w:r>
      <w:r w:rsidR="00C03ABE" w:rsidRPr="00F87ED8">
        <w:rPr>
          <w:rFonts w:ascii="Saya FY" w:hAnsi="Saya FY"/>
          <w:lang w:val="en-US"/>
        </w:rPr>
        <w:t>s</w:t>
      </w:r>
      <w:r w:rsidR="002F3733" w:rsidRPr="00F87ED8">
        <w:rPr>
          <w:rFonts w:ascii="Saya FY" w:hAnsi="Saya FY"/>
          <w:lang w:val="en-US"/>
        </w:rPr>
        <w:t>.</w:t>
      </w:r>
    </w:p>
    <w:p w14:paraId="6C62E8DB" w14:textId="77777777" w:rsidR="00A85556" w:rsidRPr="00F87ED8" w:rsidRDefault="00A85556" w:rsidP="00A85556">
      <w:pPr>
        <w:pStyle w:val="NoSpacing"/>
        <w:jc w:val="both"/>
        <w:rPr>
          <w:rFonts w:ascii="Saya FY" w:hAnsi="Saya FY"/>
          <w:b/>
          <w:lang w:val="en-US"/>
        </w:rPr>
      </w:pPr>
    </w:p>
    <w:p w14:paraId="298C0070" w14:textId="47FFDEB0" w:rsidR="00A85556" w:rsidRPr="00F87ED8" w:rsidRDefault="00A85556" w:rsidP="00A85556">
      <w:pPr>
        <w:jc w:val="both"/>
        <w:rPr>
          <w:rFonts w:ascii="Saya FY" w:hAnsi="Saya FY"/>
          <w:i/>
          <w:lang w:val="en-US"/>
        </w:rPr>
      </w:pPr>
      <w:r w:rsidRPr="00F87ED8">
        <w:rPr>
          <w:rFonts w:ascii="Saya FY" w:hAnsi="Saya FY"/>
          <w:i/>
          <w:lang w:val="en-US"/>
        </w:rPr>
        <w:t xml:space="preserve">“We are proud to execute our </w:t>
      </w:r>
      <w:r w:rsidR="00DC6792" w:rsidRPr="00F87ED8">
        <w:rPr>
          <w:rFonts w:ascii="Saya FY" w:hAnsi="Saya FY"/>
          <w:i/>
          <w:lang w:val="en-US"/>
        </w:rPr>
        <w:t xml:space="preserve">first </w:t>
      </w:r>
      <w:r w:rsidRPr="00F87ED8">
        <w:rPr>
          <w:rFonts w:ascii="Saya FY" w:hAnsi="Saya FY"/>
          <w:i/>
          <w:lang w:val="en-US"/>
        </w:rPr>
        <w:t xml:space="preserve">transaction in </w:t>
      </w:r>
      <w:r w:rsidR="00DC6792" w:rsidRPr="00F87ED8">
        <w:rPr>
          <w:rFonts w:ascii="Saya FY" w:hAnsi="Saya FY"/>
          <w:i/>
          <w:lang w:val="en-US"/>
        </w:rPr>
        <w:t xml:space="preserve">Azerbaijan </w:t>
      </w:r>
      <w:r w:rsidRPr="00F87ED8">
        <w:rPr>
          <w:rFonts w:ascii="Saya FY" w:hAnsi="Saya FY"/>
          <w:i/>
          <w:lang w:val="en-US"/>
        </w:rPr>
        <w:t xml:space="preserve">and the key role we have played in originating </w:t>
      </w:r>
      <w:r w:rsidR="00E108EB" w:rsidRPr="00F87ED8">
        <w:rPr>
          <w:rFonts w:ascii="Saya FY" w:hAnsi="Saya FY"/>
          <w:i/>
          <w:lang w:val="en-US"/>
        </w:rPr>
        <w:t xml:space="preserve">the structure that allowed </w:t>
      </w:r>
      <w:r w:rsidR="00B23D52" w:rsidRPr="00F87ED8">
        <w:rPr>
          <w:rFonts w:ascii="Saya FY" w:hAnsi="Saya FY"/>
          <w:i/>
          <w:lang w:val="en-US"/>
        </w:rPr>
        <w:t xml:space="preserve">the </w:t>
      </w:r>
      <w:r w:rsidR="00E108EB" w:rsidRPr="00F87ED8">
        <w:rPr>
          <w:rFonts w:ascii="Saya FY" w:hAnsi="Saya FY"/>
          <w:i/>
          <w:lang w:val="en-US"/>
        </w:rPr>
        <w:t xml:space="preserve">Azerbaijani bank to access </w:t>
      </w:r>
      <w:r w:rsidR="00B23D52" w:rsidRPr="00F87ED8">
        <w:rPr>
          <w:rFonts w:ascii="Saya FY" w:hAnsi="Saya FY"/>
          <w:i/>
          <w:lang w:val="en-US"/>
        </w:rPr>
        <w:t xml:space="preserve">the </w:t>
      </w:r>
      <w:r w:rsidR="00572003" w:rsidRPr="00F87ED8">
        <w:rPr>
          <w:rFonts w:ascii="Saya FY" w:hAnsi="Saya FY"/>
          <w:i/>
          <w:lang w:val="en-US"/>
        </w:rPr>
        <w:t>off</w:t>
      </w:r>
      <w:r w:rsidR="00B23D52" w:rsidRPr="00F87ED8">
        <w:rPr>
          <w:rFonts w:ascii="Saya FY" w:hAnsi="Saya FY"/>
          <w:i/>
          <w:lang w:val="en-US"/>
        </w:rPr>
        <w:t>-</w:t>
      </w:r>
      <w:r w:rsidR="00572003" w:rsidRPr="00F87ED8">
        <w:rPr>
          <w:rFonts w:ascii="Saya FY" w:hAnsi="Saya FY"/>
          <w:i/>
          <w:lang w:val="en-US"/>
        </w:rPr>
        <w:t>shore NDF market</w:t>
      </w:r>
      <w:r w:rsidRPr="00F87ED8">
        <w:rPr>
          <w:rFonts w:ascii="Saya FY" w:hAnsi="Saya FY"/>
          <w:i/>
          <w:lang w:val="en-US"/>
        </w:rPr>
        <w:t xml:space="preserve">. The transaction strengthens </w:t>
      </w:r>
      <w:r w:rsidR="00EC5F4F" w:rsidRPr="00F87ED8">
        <w:rPr>
          <w:rFonts w:ascii="Saya FY" w:hAnsi="Saya FY"/>
          <w:i/>
          <w:iCs/>
          <w:lang w:val="en-US"/>
        </w:rPr>
        <w:t>global markets players’</w:t>
      </w:r>
      <w:r w:rsidR="00EC5F4F" w:rsidRPr="00F87ED8">
        <w:rPr>
          <w:rFonts w:ascii="Saya FY" w:hAnsi="Saya FY"/>
          <w:iCs/>
          <w:lang w:val="en-US"/>
        </w:rPr>
        <w:t xml:space="preserve"> </w:t>
      </w:r>
      <w:r w:rsidRPr="00F87ED8">
        <w:rPr>
          <w:rFonts w:ascii="Saya FY" w:hAnsi="Saya FY"/>
          <w:i/>
          <w:lang w:val="en-US"/>
        </w:rPr>
        <w:t xml:space="preserve">ability to mitigate legal risks in </w:t>
      </w:r>
      <w:r w:rsidR="00B23D52" w:rsidRPr="00F87ED8">
        <w:rPr>
          <w:rFonts w:ascii="Saya FY" w:hAnsi="Saya FY"/>
          <w:i/>
          <w:lang w:val="en-US"/>
        </w:rPr>
        <w:t>the country</w:t>
      </w:r>
      <w:r w:rsidRPr="00F87ED8">
        <w:rPr>
          <w:rFonts w:ascii="Saya FY" w:hAnsi="Saya FY"/>
          <w:i/>
          <w:lang w:val="en-US"/>
        </w:rPr>
        <w:t xml:space="preserve"> and sets a benchmark for the development of </w:t>
      </w:r>
      <w:r w:rsidR="00EC5F4F" w:rsidRPr="00F87ED8">
        <w:rPr>
          <w:rFonts w:ascii="Saya FY" w:hAnsi="Saya FY"/>
          <w:i/>
          <w:lang w:val="en-US"/>
        </w:rPr>
        <w:t xml:space="preserve">Azerbaijan’s </w:t>
      </w:r>
      <w:r w:rsidRPr="00F87ED8">
        <w:rPr>
          <w:rFonts w:ascii="Saya FY" w:hAnsi="Saya FY"/>
          <w:i/>
          <w:lang w:val="en-US"/>
        </w:rPr>
        <w:t>money market</w:t>
      </w:r>
      <w:r w:rsidR="00E42B88" w:rsidRPr="00F87ED8">
        <w:rPr>
          <w:rFonts w:ascii="Saya FY" w:hAnsi="Saya FY"/>
          <w:i/>
          <w:lang w:val="en-US"/>
        </w:rPr>
        <w:t>s</w:t>
      </w:r>
      <w:r w:rsidRPr="00F87ED8">
        <w:rPr>
          <w:rFonts w:ascii="Saya FY" w:hAnsi="Saya FY"/>
          <w:i/>
          <w:lang w:val="en-US"/>
        </w:rPr>
        <w:t xml:space="preserve"> going forward.” – Andrei Shinkevich, Senior VP Frontclear</w:t>
      </w:r>
    </w:p>
    <w:p w14:paraId="1093ACBE" w14:textId="1EA4A84D" w:rsidR="009B3ED7" w:rsidRDefault="009B3ED7" w:rsidP="009B3ED7">
      <w:pPr>
        <w:pStyle w:val="NoSpacing"/>
        <w:jc w:val="both"/>
        <w:rPr>
          <w:rFonts w:ascii="Saya FY" w:hAnsi="Saya FY"/>
          <w:i/>
          <w:lang w:val="en-US"/>
        </w:rPr>
      </w:pPr>
      <w:r w:rsidRPr="009B3ED7">
        <w:rPr>
          <w:rFonts w:ascii="Saya FY" w:hAnsi="Saya FY"/>
          <w:iCs/>
          <w:lang w:val="en-US"/>
        </w:rPr>
        <w:t xml:space="preserve">Chairman of the Management Board of Unibank CB Faig Huseynov stressed that the partnership with the prestigious Frontclear and </w:t>
      </w:r>
      <w:bookmarkStart w:id="0" w:name="_GoBack"/>
      <w:bookmarkEnd w:id="0"/>
      <w:r w:rsidRPr="009B3ED7">
        <w:rPr>
          <w:rFonts w:ascii="Saya FY" w:hAnsi="Saya FY"/>
          <w:iCs/>
          <w:lang w:val="en-US"/>
        </w:rPr>
        <w:t>TCX will create new opportunities for the bank's customers:</w:t>
      </w:r>
      <w:r>
        <w:rPr>
          <w:rFonts w:ascii="Saya FY" w:hAnsi="Saya FY"/>
          <w:i/>
          <w:lang w:val="en-US"/>
        </w:rPr>
        <w:t xml:space="preserve"> </w:t>
      </w:r>
      <w:r>
        <w:rPr>
          <w:rFonts w:ascii="Saya FY" w:hAnsi="Saya FY"/>
          <w:i/>
          <w:lang w:val="en-US"/>
        </w:rPr>
        <w:t xml:space="preserve"> </w:t>
      </w:r>
      <w:r>
        <w:rPr>
          <w:rFonts w:ascii="Saya FY" w:hAnsi="Saya FY"/>
          <w:i/>
          <w:lang w:val="en-US"/>
        </w:rPr>
        <w:t>“W</w:t>
      </w:r>
      <w:r w:rsidRPr="004A442D">
        <w:rPr>
          <w:rFonts w:ascii="Saya FY" w:hAnsi="Saya FY"/>
          <w:i/>
          <w:lang w:val="en-US"/>
        </w:rPr>
        <w:t>e are very pleased that the NDF t</w:t>
      </w:r>
      <w:r>
        <w:rPr>
          <w:rFonts w:ascii="Saya FY" w:hAnsi="Saya FY"/>
          <w:i/>
          <w:lang w:val="en-US"/>
        </w:rPr>
        <w:t>ransaction</w:t>
      </w:r>
      <w:r w:rsidRPr="004A442D">
        <w:rPr>
          <w:rFonts w:ascii="Saya FY" w:hAnsi="Saya FY"/>
          <w:i/>
          <w:lang w:val="en-US"/>
        </w:rPr>
        <w:t xml:space="preserve"> will open up new opportunities for financing local business, which is one of the important targets in Unibank's strategy. This agreement will provide more opportunities to provide our corporate clients with profitab</w:t>
      </w:r>
      <w:r>
        <w:rPr>
          <w:rFonts w:ascii="Saya FY" w:hAnsi="Saya FY"/>
          <w:i/>
          <w:lang w:val="en-US"/>
        </w:rPr>
        <w:t>le and non-risky financial resources</w:t>
      </w:r>
      <w:r w:rsidRPr="004A442D">
        <w:rPr>
          <w:rFonts w:ascii="Saya FY" w:hAnsi="Saya FY"/>
          <w:i/>
          <w:lang w:val="en-US"/>
        </w:rPr>
        <w:t>. Thus, Unibank will be able to increase its support for the development of the real sector</w:t>
      </w:r>
      <w:r>
        <w:rPr>
          <w:rFonts w:ascii="Saya FY" w:hAnsi="Saya FY"/>
          <w:i/>
          <w:lang w:val="en-US"/>
        </w:rPr>
        <w:t>.”</w:t>
      </w:r>
    </w:p>
    <w:p w14:paraId="27955002" w14:textId="77777777" w:rsidR="009B3ED7" w:rsidRPr="004A770D" w:rsidRDefault="009B3ED7" w:rsidP="009B3ED7">
      <w:pPr>
        <w:pStyle w:val="NoSpacing"/>
        <w:jc w:val="both"/>
        <w:rPr>
          <w:rFonts w:ascii="Saya FY" w:hAnsi="Saya FY"/>
          <w:lang w:val="en-US"/>
        </w:rPr>
      </w:pPr>
    </w:p>
    <w:p w14:paraId="08FA035B" w14:textId="262B3538" w:rsidR="0085161E" w:rsidRPr="00F87ED8" w:rsidRDefault="0085161E" w:rsidP="009B3ED7">
      <w:pPr>
        <w:jc w:val="both"/>
        <w:rPr>
          <w:rFonts w:ascii="Saya FY" w:hAnsi="Saya FY"/>
          <w:i/>
          <w:iCs/>
          <w:lang w:val="en-US"/>
        </w:rPr>
      </w:pPr>
      <w:r w:rsidRPr="00F87ED8">
        <w:rPr>
          <w:rFonts w:ascii="Saya FY" w:hAnsi="Saya FY"/>
          <w:i/>
          <w:iCs/>
          <w:lang w:val="en-US"/>
        </w:rPr>
        <w:t>“</w:t>
      </w:r>
      <w:r w:rsidRPr="00C44C16">
        <w:rPr>
          <w:rFonts w:ascii="Saya FY" w:hAnsi="Saya FY"/>
          <w:i/>
          <w:iCs/>
          <w:lang w:val="en-US"/>
        </w:rPr>
        <w:t xml:space="preserve">We are pleased </w:t>
      </w:r>
      <w:r w:rsidR="00125F00" w:rsidRPr="00C44C16">
        <w:rPr>
          <w:rFonts w:ascii="Saya FY" w:hAnsi="Saya FY"/>
          <w:i/>
          <w:iCs/>
          <w:lang w:val="en-US"/>
        </w:rPr>
        <w:t>with the Frontclear</w:t>
      </w:r>
      <w:r w:rsidRPr="00C44C16">
        <w:rPr>
          <w:rFonts w:ascii="Saya FY" w:hAnsi="Saya FY"/>
          <w:i/>
          <w:iCs/>
          <w:lang w:val="en-US"/>
        </w:rPr>
        <w:t xml:space="preserve"> partnership that enabled TCX to offer </w:t>
      </w:r>
      <w:r w:rsidRPr="00870759">
        <w:rPr>
          <w:rFonts w:ascii="Saya FY" w:hAnsi="Saya FY"/>
          <w:i/>
          <w:iCs/>
          <w:lang w:val="en-US"/>
        </w:rPr>
        <w:t>a</w:t>
      </w:r>
      <w:r w:rsidR="00C44C16" w:rsidRPr="00870759">
        <w:rPr>
          <w:rFonts w:ascii="Saya FY" w:hAnsi="Saya FY"/>
          <w:i/>
          <w:iCs/>
          <w:lang w:val="en-US"/>
        </w:rPr>
        <w:t>n additional</w:t>
      </w:r>
      <w:r w:rsidRPr="00870759">
        <w:rPr>
          <w:rFonts w:ascii="Saya FY" w:hAnsi="Saya FY"/>
          <w:i/>
          <w:iCs/>
          <w:lang w:val="en-US"/>
        </w:rPr>
        <w:t xml:space="preserve"> way</w:t>
      </w:r>
      <w:r w:rsidRPr="00C44C16">
        <w:rPr>
          <w:rFonts w:ascii="Saya FY" w:hAnsi="Saya FY"/>
          <w:i/>
          <w:iCs/>
          <w:lang w:val="en-US"/>
        </w:rPr>
        <w:t xml:space="preserve"> for Unibank to swap its USD liabilities into AZN, enabling Unibank to meet the demand of its customers for Manat funding.</w:t>
      </w:r>
      <w:r w:rsidRPr="00F87ED8">
        <w:rPr>
          <w:rFonts w:ascii="Saya FY" w:hAnsi="Saya FY"/>
          <w:i/>
          <w:iCs/>
          <w:lang w:val="en-US"/>
        </w:rPr>
        <w:t xml:space="preserve"> TCX is also a beneficiary of this partnership as the Fund did not have the credit appetite to face Unibank or leapfrog currency derivatives from a legal perspective. As Frontclear has diligently covered the credit &amp; legal risk aspects it opens avenues for TCX to venture into direct relationships with more comfort in the future to service the long term relationship of the Fund.” – Jerome Pirouz, Senior VP Structuring, TCX</w:t>
      </w:r>
    </w:p>
    <w:p w14:paraId="3E0ED2E4" w14:textId="77777777" w:rsidR="0085161E" w:rsidRPr="00F87ED8" w:rsidRDefault="0085161E" w:rsidP="00A85556">
      <w:pPr>
        <w:jc w:val="both"/>
        <w:rPr>
          <w:rFonts w:ascii="Saya FY" w:hAnsi="Saya FY"/>
          <w:i/>
          <w:lang w:val="en-US"/>
        </w:rPr>
      </w:pPr>
    </w:p>
    <w:p w14:paraId="13DB52C6" w14:textId="1EC4F911" w:rsidR="00E639F0" w:rsidRPr="00975D90" w:rsidRDefault="00707AC6" w:rsidP="00975D90">
      <w:pPr>
        <w:pStyle w:val="NoSpacing"/>
        <w:jc w:val="center"/>
        <w:rPr>
          <w:rFonts w:cstheme="minorHAnsi"/>
          <w:b/>
          <w:lang w:val="en-US"/>
        </w:rPr>
      </w:pPr>
      <w:r w:rsidRPr="00B26C67">
        <w:rPr>
          <w:rFonts w:cstheme="minorHAnsi"/>
          <w:b/>
          <w:lang w:val="en-US"/>
        </w:rPr>
        <w:t>—</w:t>
      </w:r>
      <w:r w:rsidR="00EF3C9F" w:rsidRPr="00B26C67">
        <w:rPr>
          <w:rFonts w:cstheme="minorHAnsi"/>
          <w:b/>
          <w:lang w:val="en-US"/>
        </w:rPr>
        <w:t>END</w:t>
      </w:r>
      <w:r w:rsidR="00135A57" w:rsidRPr="00B26C67">
        <w:rPr>
          <w:rFonts w:cstheme="minorHAnsi"/>
          <w:b/>
          <w:lang w:val="en-US"/>
        </w:rPr>
        <w:t>—</w:t>
      </w:r>
    </w:p>
    <w:p w14:paraId="60032FFF" w14:textId="77777777" w:rsidR="00135A57" w:rsidRPr="006C702E" w:rsidRDefault="00135A57" w:rsidP="00135A57">
      <w:pPr>
        <w:pStyle w:val="NoSpacing"/>
        <w:rPr>
          <w:rFonts w:ascii="Saya FY" w:hAnsi="Saya FY"/>
          <w:b/>
          <w:sz w:val="20"/>
          <w:szCs w:val="20"/>
          <w:lang w:val="en-US"/>
        </w:rPr>
      </w:pPr>
      <w:r w:rsidRPr="006C702E">
        <w:rPr>
          <w:rFonts w:ascii="Saya FY" w:hAnsi="Saya FY"/>
          <w:b/>
          <w:sz w:val="20"/>
          <w:szCs w:val="20"/>
          <w:lang w:val="en-US"/>
        </w:rPr>
        <w:lastRenderedPageBreak/>
        <w:t>About Fron</w:t>
      </w:r>
      <w:r w:rsidR="00550447" w:rsidRPr="006C702E">
        <w:rPr>
          <w:rFonts w:ascii="Saya FY" w:hAnsi="Saya FY"/>
          <w:b/>
          <w:sz w:val="20"/>
          <w:szCs w:val="20"/>
          <w:lang w:val="en-US"/>
        </w:rPr>
        <w:t>t</w:t>
      </w:r>
      <w:r w:rsidRPr="006C702E">
        <w:rPr>
          <w:rFonts w:ascii="Saya FY" w:hAnsi="Saya FY"/>
          <w:b/>
          <w:sz w:val="20"/>
          <w:szCs w:val="20"/>
          <w:lang w:val="en-US"/>
        </w:rPr>
        <w:t>clear</w:t>
      </w:r>
    </w:p>
    <w:p w14:paraId="62AE3DE8" w14:textId="621A604D" w:rsidR="00135A57" w:rsidRPr="006C702E" w:rsidRDefault="00135A57" w:rsidP="000E6A13">
      <w:pPr>
        <w:pStyle w:val="NoSpacing"/>
        <w:jc w:val="both"/>
        <w:rPr>
          <w:rFonts w:ascii="Saya FY" w:hAnsi="Saya FY"/>
          <w:sz w:val="20"/>
          <w:szCs w:val="20"/>
          <w:lang w:val="en-US"/>
        </w:rPr>
      </w:pPr>
      <w:r w:rsidRPr="00FD4FCD">
        <w:rPr>
          <w:rFonts w:ascii="Saya FY" w:hAnsi="Saya FY"/>
          <w:bCs/>
          <w:sz w:val="20"/>
          <w:szCs w:val="20"/>
          <w:lang w:val="en-US"/>
        </w:rPr>
        <w:t xml:space="preserve">Frontclear </w:t>
      </w:r>
      <w:r w:rsidR="002B5B56" w:rsidRPr="006C702E">
        <w:rPr>
          <w:rFonts w:ascii="Saya FY" w:hAnsi="Saya FY"/>
          <w:sz w:val="20"/>
          <w:szCs w:val="20"/>
          <w:lang w:val="en-US"/>
        </w:rPr>
        <w:t xml:space="preserve">is a development finance company </w:t>
      </w:r>
      <w:r w:rsidR="00680C54">
        <w:rPr>
          <w:rFonts w:ascii="Saya FY" w:hAnsi="Saya FY"/>
          <w:sz w:val="20"/>
          <w:szCs w:val="20"/>
          <w:lang w:val="en-US"/>
        </w:rPr>
        <w:t xml:space="preserve">with offices in The Netherlands, and </w:t>
      </w:r>
      <w:r w:rsidR="002B5B56" w:rsidRPr="006C702E">
        <w:rPr>
          <w:rFonts w:ascii="Saya FY" w:hAnsi="Saya FY"/>
          <w:sz w:val="20"/>
          <w:szCs w:val="20"/>
          <w:lang w:val="en-US"/>
        </w:rPr>
        <w:t xml:space="preserve">dedicated to stable and inclusive money markets.  Its </w:t>
      </w:r>
      <w:r w:rsidR="00A12E60" w:rsidRPr="006C702E">
        <w:rPr>
          <w:rFonts w:ascii="Saya FY" w:hAnsi="Saya FY"/>
          <w:sz w:val="20"/>
          <w:szCs w:val="20"/>
          <w:lang w:val="en-US"/>
        </w:rPr>
        <w:t>i</w:t>
      </w:r>
      <w:r w:rsidR="002B5B56" w:rsidRPr="006C702E">
        <w:rPr>
          <w:rFonts w:ascii="Saya FY" w:hAnsi="Saya FY"/>
          <w:sz w:val="20"/>
          <w:szCs w:val="20"/>
          <w:lang w:val="en-US"/>
        </w:rPr>
        <w:t>nvestors are largely European development financial institutions</w:t>
      </w:r>
      <w:r w:rsidR="00EC7786">
        <w:rPr>
          <w:rFonts w:ascii="Saya FY" w:hAnsi="Saya FY"/>
          <w:sz w:val="20"/>
          <w:szCs w:val="20"/>
          <w:lang w:val="en-US"/>
        </w:rPr>
        <w:t xml:space="preserve"> and governments</w:t>
      </w:r>
      <w:r w:rsidR="002B5B56" w:rsidRPr="006C702E">
        <w:rPr>
          <w:rFonts w:ascii="Saya FY" w:hAnsi="Saya FY"/>
          <w:sz w:val="20"/>
          <w:szCs w:val="20"/>
          <w:lang w:val="en-US"/>
        </w:rPr>
        <w:t xml:space="preserve">.  Frontclear has unlocked access to global and local interbank markets for EMDC banks by providing credit guarantees to cover counterparty credit risk, on the condition that local currency assets can be used for collateral management purposes.  Complementarily, Frontclear offers technical assistance and implements regulator roundtables, advisory projects on legal enforceability, industry training and market infrastructure development – all targeting the development of a healthy money markets. To-date, Frontclear has </w:t>
      </w:r>
      <w:r w:rsidR="00EC7786">
        <w:rPr>
          <w:rFonts w:ascii="Saya FY" w:hAnsi="Saya FY"/>
          <w:sz w:val="20"/>
          <w:szCs w:val="20"/>
          <w:lang w:val="en-US"/>
        </w:rPr>
        <w:t>facilitated USD 980 million in interbank money market transaction in 13 countries.</w:t>
      </w:r>
      <w:r w:rsidR="002B5B56" w:rsidRPr="006C702E">
        <w:rPr>
          <w:rFonts w:ascii="Saya FY" w:hAnsi="Saya FY"/>
          <w:sz w:val="20"/>
          <w:szCs w:val="20"/>
          <w:lang w:val="en-US"/>
        </w:rPr>
        <w:t xml:space="preserve">  It has trained over 900 obligors and regulators in over 13 countries and signed a near dozen partnerships with central banks and local beneficiaries. </w:t>
      </w:r>
      <w:r w:rsidRPr="006C702E">
        <w:rPr>
          <w:rFonts w:ascii="Saya FY" w:hAnsi="Saya FY"/>
          <w:sz w:val="20"/>
          <w:szCs w:val="20"/>
          <w:lang w:val="en-US"/>
        </w:rPr>
        <w:t xml:space="preserve">For further information, please visit </w:t>
      </w:r>
      <w:hyperlink r:id="rId11" w:history="1">
        <w:r w:rsidR="00322C0C" w:rsidRPr="006C702E">
          <w:rPr>
            <w:rStyle w:val="Hyperlink"/>
            <w:rFonts w:ascii="Saya FY" w:hAnsi="Saya FY"/>
            <w:sz w:val="20"/>
            <w:szCs w:val="20"/>
            <w:lang w:val="en-US"/>
          </w:rPr>
          <w:t>www.frontclear.com</w:t>
        </w:r>
      </w:hyperlink>
      <w:r w:rsidRPr="006C702E">
        <w:rPr>
          <w:rFonts w:ascii="Saya FY" w:hAnsi="Saya FY"/>
          <w:sz w:val="20"/>
          <w:szCs w:val="20"/>
          <w:lang w:val="en-US"/>
        </w:rPr>
        <w:t>.</w:t>
      </w:r>
    </w:p>
    <w:p w14:paraId="5189DC8D" w14:textId="77777777" w:rsidR="00322C0C" w:rsidRPr="004A770D" w:rsidRDefault="00322C0C" w:rsidP="00135A57">
      <w:pPr>
        <w:pStyle w:val="NoSpacing"/>
        <w:rPr>
          <w:rFonts w:ascii="Saya FY" w:hAnsi="Saya FY"/>
          <w:lang w:val="en-US"/>
        </w:rPr>
      </w:pPr>
    </w:p>
    <w:p w14:paraId="30DEDCF3" w14:textId="051AEC73" w:rsidR="006C702E" w:rsidRDefault="006C702E" w:rsidP="006C702E">
      <w:pPr>
        <w:pStyle w:val="NoSpacing"/>
        <w:rPr>
          <w:rFonts w:ascii="Saya FY" w:hAnsi="Saya FY"/>
          <w:b/>
          <w:sz w:val="20"/>
          <w:szCs w:val="20"/>
          <w:lang w:val="en-US"/>
        </w:rPr>
      </w:pPr>
      <w:r w:rsidRPr="00600B91">
        <w:rPr>
          <w:rFonts w:ascii="Saya FY" w:hAnsi="Saya FY"/>
          <w:b/>
          <w:sz w:val="20"/>
          <w:szCs w:val="20"/>
          <w:lang w:val="en-US"/>
        </w:rPr>
        <w:t xml:space="preserve">About </w:t>
      </w:r>
      <w:r w:rsidR="00E42B88">
        <w:rPr>
          <w:rFonts w:ascii="Saya FY" w:hAnsi="Saya FY"/>
          <w:b/>
          <w:sz w:val="20"/>
          <w:szCs w:val="20"/>
          <w:lang w:val="en-US"/>
        </w:rPr>
        <w:t>Unibank</w:t>
      </w:r>
    </w:p>
    <w:p w14:paraId="74ED9BF7" w14:textId="50E7EBF8" w:rsidR="00E42B88" w:rsidRPr="00E42B88" w:rsidRDefault="004A442D" w:rsidP="006C702E">
      <w:pPr>
        <w:pStyle w:val="NoSpacing"/>
        <w:rPr>
          <w:rFonts w:ascii="Saya FY" w:hAnsi="Saya FY"/>
          <w:bCs/>
          <w:sz w:val="20"/>
          <w:szCs w:val="20"/>
          <w:lang w:val="en-US"/>
        </w:rPr>
      </w:pPr>
      <w:r>
        <w:rPr>
          <w:rFonts w:ascii="Saya FY" w:hAnsi="Saya FY"/>
          <w:bCs/>
          <w:sz w:val="20"/>
          <w:szCs w:val="20"/>
          <w:lang w:val="en-US"/>
        </w:rPr>
        <w:t>Unibank C</w:t>
      </w:r>
      <w:r w:rsidRPr="004A442D">
        <w:rPr>
          <w:rFonts w:ascii="Saya FY" w:hAnsi="Saya FY"/>
          <w:bCs/>
          <w:sz w:val="20"/>
          <w:szCs w:val="20"/>
          <w:lang w:val="en-US"/>
        </w:rPr>
        <w:t xml:space="preserve">B OJSC has been operating since 1992. It is one of the largest private banks in Azerbaijan. EBRD, one of the largest financial institutions in the world, is one of the main shareholders of Unibank. The bank has a wide network of services in </w:t>
      </w:r>
      <w:r>
        <w:rPr>
          <w:rFonts w:ascii="Saya FY" w:hAnsi="Saya FY"/>
          <w:bCs/>
          <w:sz w:val="20"/>
          <w:szCs w:val="20"/>
          <w:lang w:val="en-US"/>
        </w:rPr>
        <w:t>the capital</w:t>
      </w:r>
      <w:r w:rsidRPr="004A442D">
        <w:rPr>
          <w:rFonts w:ascii="Saya FY" w:hAnsi="Saya FY"/>
          <w:bCs/>
          <w:sz w:val="20"/>
          <w:szCs w:val="20"/>
          <w:lang w:val="en-US"/>
        </w:rPr>
        <w:t xml:space="preserve"> and regions. At present, Unibank serves more than 1 million individual a</w:t>
      </w:r>
      <w:r>
        <w:rPr>
          <w:rFonts w:ascii="Saya FY" w:hAnsi="Saya FY"/>
          <w:bCs/>
          <w:sz w:val="20"/>
          <w:szCs w:val="20"/>
          <w:lang w:val="en-US"/>
        </w:rPr>
        <w:t xml:space="preserve">nd corporate clients. For more than 27 years, Unibank </w:t>
      </w:r>
      <w:r w:rsidRPr="004A442D">
        <w:rPr>
          <w:rFonts w:ascii="Saya FY" w:hAnsi="Saya FY"/>
          <w:bCs/>
          <w:sz w:val="20"/>
          <w:szCs w:val="20"/>
          <w:lang w:val="en-US"/>
        </w:rPr>
        <w:t>has been awarded numerous awards by international and local organizations for his successful commercial activities and participation in social projects.</w:t>
      </w:r>
      <w:r>
        <w:rPr>
          <w:rFonts w:ascii="Saya FY" w:hAnsi="Saya FY"/>
          <w:bCs/>
          <w:sz w:val="20"/>
          <w:szCs w:val="20"/>
          <w:lang w:val="en-US"/>
        </w:rPr>
        <w:t xml:space="preserve"> </w:t>
      </w:r>
    </w:p>
    <w:p w14:paraId="70CF13F1" w14:textId="2D40EB91" w:rsidR="006C702E" w:rsidRDefault="006C702E" w:rsidP="006C702E">
      <w:pPr>
        <w:pStyle w:val="NoSpacing"/>
        <w:jc w:val="both"/>
        <w:rPr>
          <w:rFonts w:ascii="Saya FY" w:hAnsi="Saya FY"/>
          <w:sz w:val="20"/>
          <w:szCs w:val="20"/>
          <w:lang w:val="en-US"/>
        </w:rPr>
      </w:pPr>
    </w:p>
    <w:p w14:paraId="2E99E1D5" w14:textId="600775E9" w:rsidR="00FD4FCD" w:rsidRPr="00FD4FCD" w:rsidRDefault="00FD4FCD" w:rsidP="00FD4FCD">
      <w:pPr>
        <w:pStyle w:val="NoSpacing"/>
        <w:rPr>
          <w:rFonts w:ascii="Saya FY" w:hAnsi="Saya FY"/>
          <w:sz w:val="20"/>
          <w:szCs w:val="20"/>
          <w:lang w:val="en-US"/>
        </w:rPr>
      </w:pPr>
      <w:r w:rsidRPr="00600B91">
        <w:rPr>
          <w:rFonts w:ascii="Saya FY" w:hAnsi="Saya FY"/>
          <w:b/>
          <w:sz w:val="20"/>
          <w:szCs w:val="20"/>
          <w:lang w:val="en-US"/>
        </w:rPr>
        <w:t xml:space="preserve">About </w:t>
      </w:r>
      <w:r>
        <w:rPr>
          <w:rFonts w:ascii="Saya FY" w:hAnsi="Saya FY"/>
          <w:b/>
          <w:sz w:val="20"/>
          <w:szCs w:val="20"/>
          <w:lang w:val="en-US"/>
        </w:rPr>
        <w:t>TCX</w:t>
      </w:r>
    </w:p>
    <w:p w14:paraId="2D7917F4" w14:textId="77777777" w:rsidR="00FD4FCD" w:rsidRPr="00FD4FCD" w:rsidRDefault="00FD4FCD" w:rsidP="00FD4FCD">
      <w:pPr>
        <w:pStyle w:val="NoSpacing"/>
        <w:jc w:val="both"/>
        <w:rPr>
          <w:rFonts w:ascii="Saya FY" w:hAnsi="Saya FY"/>
          <w:sz w:val="20"/>
          <w:szCs w:val="20"/>
          <w:lang w:val="en-US"/>
        </w:rPr>
      </w:pPr>
      <w:r w:rsidRPr="00FD4FCD">
        <w:rPr>
          <w:rFonts w:ascii="Saya FY" w:hAnsi="Saya FY"/>
          <w:sz w:val="20"/>
          <w:szCs w:val="20"/>
          <w:lang w:val="en-US"/>
        </w:rPr>
        <w:t xml:space="preserve">TCX is a global development finance initiative which offers long term currency swaps and forwards in 80+ financial markets where such products are not available or poorly accessible. The Fund started operations in 2007 and has since then provided hedging instruments with a total volume of USD 6.5 billion, spread over 3000 transactions. Today the fund has a total exposure of over USD 4 billion on 60 frontier market currencies. By ‘selling’ this exposure it creates markets and gives frontier countries access to the international capital market. </w:t>
      </w:r>
    </w:p>
    <w:p w14:paraId="1998A44A" w14:textId="77777777" w:rsidR="00FD4FCD" w:rsidRPr="00FD4FCD" w:rsidRDefault="00FD4FCD" w:rsidP="00FD4FCD">
      <w:pPr>
        <w:pStyle w:val="NoSpacing"/>
        <w:jc w:val="both"/>
        <w:rPr>
          <w:rFonts w:ascii="Saya FY" w:hAnsi="Saya FY"/>
          <w:sz w:val="20"/>
          <w:szCs w:val="20"/>
          <w:lang w:val="en-US"/>
        </w:rPr>
      </w:pPr>
      <w:r w:rsidRPr="00FD4FCD">
        <w:rPr>
          <w:rFonts w:ascii="Saya FY" w:hAnsi="Saya FY"/>
          <w:sz w:val="20"/>
          <w:szCs w:val="20"/>
          <w:lang w:val="en-US"/>
        </w:rPr>
        <w:t xml:space="preserve"> </w:t>
      </w:r>
    </w:p>
    <w:p w14:paraId="0B29EBB0" w14:textId="77777777" w:rsidR="00FD4FCD" w:rsidRPr="00FD4FCD" w:rsidRDefault="00FD4FCD" w:rsidP="006C702E">
      <w:pPr>
        <w:pStyle w:val="NoSpacing"/>
        <w:jc w:val="both"/>
        <w:rPr>
          <w:rFonts w:ascii="Saya FY" w:hAnsi="Saya FY"/>
          <w:sz w:val="20"/>
          <w:szCs w:val="20"/>
          <w:lang w:val="en-US"/>
        </w:rPr>
      </w:pPr>
    </w:p>
    <w:p w14:paraId="4D224130" w14:textId="77777777" w:rsidR="00AA0A7B" w:rsidRPr="00FD4FCD" w:rsidRDefault="00AA0A7B" w:rsidP="00322C0C">
      <w:pPr>
        <w:pStyle w:val="NoSpacing"/>
        <w:rPr>
          <w:rFonts w:ascii="Saya FY" w:hAnsi="Saya FY"/>
          <w:b/>
          <w:lang w:val="en-US"/>
        </w:rPr>
      </w:pPr>
    </w:p>
    <w:p w14:paraId="362BAF8C" w14:textId="77777777" w:rsidR="00322C0C" w:rsidRPr="00CA589C" w:rsidRDefault="00322C0C" w:rsidP="00322C0C">
      <w:pPr>
        <w:pStyle w:val="NoSpacing"/>
        <w:rPr>
          <w:rFonts w:ascii="Saya FY" w:hAnsi="Saya FY"/>
          <w:b/>
          <w:sz w:val="20"/>
          <w:szCs w:val="20"/>
          <w:lang w:val="en-US"/>
        </w:rPr>
      </w:pPr>
      <w:r w:rsidRPr="00CA589C">
        <w:rPr>
          <w:rFonts w:ascii="Saya FY" w:hAnsi="Saya FY"/>
          <w:b/>
          <w:sz w:val="20"/>
          <w:szCs w:val="20"/>
          <w:lang w:val="en-US"/>
        </w:rPr>
        <w:t>For media inquiries, contact:</w:t>
      </w:r>
    </w:p>
    <w:p w14:paraId="44FA50EC" w14:textId="77777777" w:rsidR="00322C0C" w:rsidRPr="00CA589C" w:rsidRDefault="00322C0C" w:rsidP="00322C0C">
      <w:pPr>
        <w:pStyle w:val="NoSpacing"/>
        <w:rPr>
          <w:rFonts w:ascii="Saya FY" w:hAnsi="Saya FY"/>
          <w:b/>
          <w:sz w:val="20"/>
          <w:szCs w:val="20"/>
          <w:lang w:val="en-US"/>
        </w:rPr>
      </w:pPr>
    </w:p>
    <w:p w14:paraId="51FF3703" w14:textId="77777777" w:rsidR="00322C0C" w:rsidRPr="00CA589C" w:rsidRDefault="00322C0C" w:rsidP="00135A57">
      <w:pPr>
        <w:pStyle w:val="NoSpacing"/>
        <w:rPr>
          <w:rFonts w:ascii="Saya FY" w:hAnsi="Saya FY"/>
          <w:sz w:val="20"/>
          <w:szCs w:val="20"/>
          <w:lang w:val="en-US"/>
        </w:rPr>
      </w:pPr>
      <w:r w:rsidRPr="00CA589C">
        <w:rPr>
          <w:rFonts w:ascii="Saya FY" w:hAnsi="Saya FY"/>
          <w:sz w:val="20"/>
          <w:szCs w:val="20"/>
          <w:lang w:val="en-US"/>
        </w:rPr>
        <w:t>Ingrid Hagen, Frontclear | +31</w:t>
      </w:r>
      <w:r w:rsidR="00BC4984" w:rsidRPr="00CA589C">
        <w:rPr>
          <w:rFonts w:ascii="Saya FY" w:hAnsi="Saya FY"/>
          <w:sz w:val="20"/>
          <w:szCs w:val="20"/>
          <w:lang w:val="en-US"/>
        </w:rPr>
        <w:t xml:space="preserve"> </w:t>
      </w:r>
      <w:r w:rsidRPr="00CA589C">
        <w:rPr>
          <w:rFonts w:ascii="Saya FY" w:hAnsi="Saya FY"/>
          <w:sz w:val="20"/>
          <w:szCs w:val="20"/>
          <w:lang w:val="en-US"/>
        </w:rPr>
        <w:t xml:space="preserve">20 531 4854 | </w:t>
      </w:r>
      <w:hyperlink r:id="rId12" w:history="1">
        <w:r w:rsidRPr="00CA589C">
          <w:rPr>
            <w:rStyle w:val="Hyperlink"/>
            <w:rFonts w:ascii="Saya FY" w:hAnsi="Saya FY"/>
            <w:sz w:val="20"/>
            <w:szCs w:val="20"/>
            <w:lang w:val="en-US"/>
          </w:rPr>
          <w:t>ihagen@frontclear.com</w:t>
        </w:r>
      </w:hyperlink>
    </w:p>
    <w:sectPr w:rsidR="00322C0C" w:rsidRPr="00CA589C" w:rsidSect="002F4FB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D471" w14:textId="77777777" w:rsidR="00E600B7" w:rsidRDefault="00E600B7" w:rsidP="000963FA">
      <w:pPr>
        <w:spacing w:after="0" w:line="240" w:lineRule="auto"/>
      </w:pPr>
      <w:r>
        <w:separator/>
      </w:r>
    </w:p>
  </w:endnote>
  <w:endnote w:type="continuationSeparator" w:id="0">
    <w:p w14:paraId="745C1154" w14:textId="77777777" w:rsidR="00E600B7" w:rsidRDefault="00E600B7" w:rsidP="0009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aya FY">
    <w:altName w:val="Calibri"/>
    <w:panose1 w:val="02000506000000020004"/>
    <w:charset w:val="00"/>
    <w:family w:val="modern"/>
    <w:notTrueType/>
    <w:pitch w:val="variable"/>
    <w:sig w:usb0="A00000AF" w:usb1="50006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BA21" w14:textId="4FC0ABEC" w:rsidR="0001583E" w:rsidRDefault="00332E35">
    <w:pPr>
      <w:pStyle w:val="Footer"/>
    </w:pPr>
    <w:r>
      <w:rPr>
        <w:noProof/>
        <w:lang w:val="ru-RU" w:eastAsia="ru-RU"/>
      </w:rPr>
      <mc:AlternateContent>
        <mc:Choice Requires="wps">
          <w:drawing>
            <wp:anchor distT="0" distB="0" distL="114300" distR="114300" simplePos="0" relativeHeight="251660288" behindDoc="0" locked="0" layoutInCell="0" allowOverlap="1" wp14:anchorId="2D906735" wp14:editId="00E6F535">
              <wp:simplePos x="0" y="0"/>
              <wp:positionH relativeFrom="page">
                <wp:posOffset>0</wp:posOffset>
              </wp:positionH>
              <wp:positionV relativeFrom="page">
                <wp:posOffset>10234930</wp:posOffset>
              </wp:positionV>
              <wp:extent cx="7560310" cy="266700"/>
              <wp:effectExtent l="0" t="0" r="0" b="0"/>
              <wp:wrapNone/>
              <wp:docPr id="2" name="MSIPCMa29148a9b4472eed461ff512" descr="{&quot;HashCode&quot;:-29379638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AE5A1" w14:textId="4F4366E3" w:rsidR="00332E35" w:rsidRPr="00332E35" w:rsidRDefault="00332E35" w:rsidP="00332E35">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906735" id="_x0000_t202" coordsize="21600,21600" o:spt="202" path="m,l,21600r21600,l21600,xe">
              <v:stroke joinstyle="miter"/>
              <v:path gradientshapeok="t" o:connecttype="rect"/>
            </v:shapetype>
            <v:shape id="MSIPCMa29148a9b4472eed461ff512" o:spid="_x0000_s1026" type="#_x0000_t202" alt="{&quot;HashCode&quot;:-293796381,&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YUj1GFwMAADYGAAAOAAAAAAAAAAAAAAAA&#10;AC4CAABkcnMvZTJvRG9jLnhtbFBLAQItABQABgAIAAAAIQCDso8r3wAAAAsBAAAPAAAAAAAAAAAA&#10;AAAAAHEFAABkcnMvZG93bnJldi54bWxQSwUGAAAAAAQABADzAAAAfQYAAAAA&#10;" o:allowincell="f" filled="f" stroked="f" strokeweight=".5pt">
              <v:textbox inset=",0,,0">
                <w:txbxContent>
                  <w:p w14:paraId="095AE5A1" w14:textId="4F4366E3" w:rsidR="00332E35" w:rsidRPr="00332E35" w:rsidRDefault="00332E35" w:rsidP="00332E35">
                    <w:pPr>
                      <w:spacing w:after="0"/>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28CB" w14:textId="77777777" w:rsidR="00FA3C18" w:rsidRPr="002F4FB8" w:rsidRDefault="00FA3C18" w:rsidP="002F4FB8">
    <w:pPr>
      <w:pStyle w:val="Footer"/>
      <w:jc w:val="center"/>
      <w:rPr>
        <w:rFonts w:ascii="Garamond" w:hAnsi="Garamond"/>
        <w:b/>
        <w:color w:val="44546A" w:themeColor="text2"/>
        <w:lang w:val="en-US"/>
      </w:rPr>
    </w:pPr>
    <w:r w:rsidRPr="002F4FB8">
      <w:rPr>
        <w:rFonts w:ascii="Garamond" w:hAnsi="Garamond"/>
        <w:b/>
        <w:color w:val="44546A" w:themeColor="text2"/>
        <w:lang w:val="en-US"/>
      </w:rPr>
      <w:t>Mauritskade 63 1092 AD Amsterdam, The Netherlands | +31 20 531 4854 | info@frontclear.com</w:t>
    </w:r>
  </w:p>
  <w:p w14:paraId="2617B5AF" w14:textId="038E5BC0" w:rsidR="00FA3C18" w:rsidRPr="002F4FB8" w:rsidRDefault="00332E35" w:rsidP="002F4FB8">
    <w:pPr>
      <w:pStyle w:val="Footer"/>
      <w:rPr>
        <w:lang w:val="en-US"/>
      </w:rPr>
    </w:pPr>
    <w:r>
      <w:rPr>
        <w:noProof/>
        <w:lang w:val="ru-RU" w:eastAsia="ru-RU"/>
      </w:rPr>
      <mc:AlternateContent>
        <mc:Choice Requires="wps">
          <w:drawing>
            <wp:anchor distT="0" distB="0" distL="114300" distR="114300" simplePos="0" relativeHeight="251661312" behindDoc="0" locked="0" layoutInCell="0" allowOverlap="1" wp14:anchorId="07628F59" wp14:editId="08A8FF9B">
              <wp:simplePos x="0" y="0"/>
              <wp:positionH relativeFrom="page">
                <wp:posOffset>0</wp:posOffset>
              </wp:positionH>
              <wp:positionV relativeFrom="page">
                <wp:posOffset>10234930</wp:posOffset>
              </wp:positionV>
              <wp:extent cx="7560310" cy="266700"/>
              <wp:effectExtent l="0" t="0" r="0" b="0"/>
              <wp:wrapNone/>
              <wp:docPr id="3" name="MSIPCM2c8f4745abcc5e9e3481af05" descr="{&quot;HashCode&quot;:-29379638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6F7FF" w14:textId="67CEF19F" w:rsidR="00332E35" w:rsidRPr="00332E35" w:rsidRDefault="00332E35" w:rsidP="00332E35">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628F59" id="_x0000_t202" coordsize="21600,21600" o:spt="202" path="m,l,21600r21600,l21600,xe">
              <v:stroke joinstyle="miter"/>
              <v:path gradientshapeok="t" o:connecttype="rect"/>
            </v:shapetype>
            <v:shape id="MSIPCM2c8f4745abcc5e9e3481af05" o:spid="_x0000_s1027" type="#_x0000_t202" alt="{&quot;HashCode&quot;:-293796381,&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8Z5laGgMAAD8GAAAOAAAAAAAAAAAA&#10;AAAAAC4CAABkcnMvZTJvRG9jLnhtbFBLAQItABQABgAIAAAAIQCDso8r3wAAAAsBAAAPAAAAAAAA&#10;AAAAAAAAAHQFAABkcnMvZG93bnJldi54bWxQSwUGAAAAAAQABADzAAAAgAYAAAAA&#10;" o:allowincell="f" filled="f" stroked="f" strokeweight=".5pt">
              <v:textbox inset=",0,,0">
                <w:txbxContent>
                  <w:p w14:paraId="2EA6F7FF" w14:textId="67CEF19F" w:rsidR="00332E35" w:rsidRPr="00332E35" w:rsidRDefault="00332E35" w:rsidP="00332E35">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7CC2" w14:textId="77777777" w:rsidR="00E600B7" w:rsidRDefault="00E600B7" w:rsidP="000963FA">
      <w:pPr>
        <w:spacing w:after="0" w:line="240" w:lineRule="auto"/>
      </w:pPr>
      <w:r>
        <w:separator/>
      </w:r>
    </w:p>
  </w:footnote>
  <w:footnote w:type="continuationSeparator" w:id="0">
    <w:p w14:paraId="02C8E5BD" w14:textId="77777777" w:rsidR="00E600B7" w:rsidRDefault="00E600B7" w:rsidP="0009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90AF" w14:textId="77777777" w:rsidR="00FA3C18" w:rsidRDefault="00FA3C18" w:rsidP="000963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D19C" w14:textId="77777777" w:rsidR="00FA3C18" w:rsidRDefault="00FA3C18">
    <w:pPr>
      <w:pStyle w:val="Header"/>
    </w:pPr>
    <w:r>
      <w:rPr>
        <w:noProof/>
        <w:lang w:val="ru-RU" w:eastAsia="ru-RU"/>
      </w:rPr>
      <w:drawing>
        <wp:anchor distT="0" distB="0" distL="114300" distR="114300" simplePos="0" relativeHeight="251659264" behindDoc="1" locked="0" layoutInCell="1" allowOverlap="1" wp14:anchorId="0BCB7F00" wp14:editId="18D3E131">
          <wp:simplePos x="0" y="0"/>
          <wp:positionH relativeFrom="margin">
            <wp:align>right</wp:align>
          </wp:positionH>
          <wp:positionV relativeFrom="paragraph">
            <wp:posOffset>7620</wp:posOffset>
          </wp:positionV>
          <wp:extent cx="2514838" cy="704850"/>
          <wp:effectExtent l="0" t="0" r="0" b="0"/>
          <wp:wrapNone/>
          <wp:docPr id="1" name="Picture 1" descr="Image result for frontcl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cle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838"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81289" w14:textId="77777777" w:rsidR="00FA3C18" w:rsidRDefault="00FA3C18">
    <w:pPr>
      <w:pStyle w:val="Header"/>
    </w:pPr>
  </w:p>
  <w:p w14:paraId="522BC279" w14:textId="77777777" w:rsidR="00FA3C18" w:rsidRDefault="00FA3C18">
    <w:pPr>
      <w:pStyle w:val="Header"/>
    </w:pPr>
  </w:p>
  <w:p w14:paraId="73D07857" w14:textId="77777777" w:rsidR="00FA3C18" w:rsidRDefault="00FA3C18">
    <w:pPr>
      <w:pStyle w:val="Header"/>
    </w:pPr>
  </w:p>
  <w:p w14:paraId="1FA5A063" w14:textId="77777777" w:rsidR="00FA3C18" w:rsidRDefault="00FA3C18">
    <w:pPr>
      <w:pStyle w:val="Header"/>
    </w:pPr>
  </w:p>
  <w:p w14:paraId="3006B654" w14:textId="77777777" w:rsidR="00FA3C18" w:rsidRDefault="00FA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3403A"/>
    <w:multiLevelType w:val="hybridMultilevel"/>
    <w:tmpl w:val="703C2B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202121"/>
    <w:multiLevelType w:val="hybridMultilevel"/>
    <w:tmpl w:val="BB125672"/>
    <w:lvl w:ilvl="0" w:tplc="C2523C8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FA"/>
    <w:rsid w:val="00003C79"/>
    <w:rsid w:val="00004FD8"/>
    <w:rsid w:val="0000659B"/>
    <w:rsid w:val="00011E72"/>
    <w:rsid w:val="0001583E"/>
    <w:rsid w:val="00020064"/>
    <w:rsid w:val="00035FC5"/>
    <w:rsid w:val="0004347B"/>
    <w:rsid w:val="00044AFD"/>
    <w:rsid w:val="000453FC"/>
    <w:rsid w:val="00053413"/>
    <w:rsid w:val="000544AD"/>
    <w:rsid w:val="000741EE"/>
    <w:rsid w:val="000963FA"/>
    <w:rsid w:val="000A1CF0"/>
    <w:rsid w:val="000A6B69"/>
    <w:rsid w:val="000B6A2F"/>
    <w:rsid w:val="000C04E8"/>
    <w:rsid w:val="000C3123"/>
    <w:rsid w:val="000D08A1"/>
    <w:rsid w:val="000D10B7"/>
    <w:rsid w:val="000E682D"/>
    <w:rsid w:val="000E6A13"/>
    <w:rsid w:val="00106282"/>
    <w:rsid w:val="00120C74"/>
    <w:rsid w:val="00125F00"/>
    <w:rsid w:val="00126120"/>
    <w:rsid w:val="00135A57"/>
    <w:rsid w:val="00136DA8"/>
    <w:rsid w:val="00150435"/>
    <w:rsid w:val="001508B1"/>
    <w:rsid w:val="0017429E"/>
    <w:rsid w:val="00180DFF"/>
    <w:rsid w:val="001848B3"/>
    <w:rsid w:val="001A1802"/>
    <w:rsid w:val="001A4814"/>
    <w:rsid w:val="001B1B75"/>
    <w:rsid w:val="001C19E3"/>
    <w:rsid w:val="001C6768"/>
    <w:rsid w:val="001D13B5"/>
    <w:rsid w:val="001D3CC6"/>
    <w:rsid w:val="001D7504"/>
    <w:rsid w:val="001E4144"/>
    <w:rsid w:val="00201CF6"/>
    <w:rsid w:val="0020476D"/>
    <w:rsid w:val="00204FBE"/>
    <w:rsid w:val="002067DD"/>
    <w:rsid w:val="00216F85"/>
    <w:rsid w:val="0022288E"/>
    <w:rsid w:val="00231D4F"/>
    <w:rsid w:val="002351D7"/>
    <w:rsid w:val="002356EE"/>
    <w:rsid w:val="002413E8"/>
    <w:rsid w:val="00243B9D"/>
    <w:rsid w:val="00244B85"/>
    <w:rsid w:val="0024575D"/>
    <w:rsid w:val="00271815"/>
    <w:rsid w:val="002733FF"/>
    <w:rsid w:val="00275523"/>
    <w:rsid w:val="002907B3"/>
    <w:rsid w:val="002954D5"/>
    <w:rsid w:val="002A18B6"/>
    <w:rsid w:val="002B0266"/>
    <w:rsid w:val="002B1A19"/>
    <w:rsid w:val="002B1EEF"/>
    <w:rsid w:val="002B5B56"/>
    <w:rsid w:val="002C053B"/>
    <w:rsid w:val="002C2785"/>
    <w:rsid w:val="002C46FB"/>
    <w:rsid w:val="002D28CC"/>
    <w:rsid w:val="002E1605"/>
    <w:rsid w:val="002F168D"/>
    <w:rsid w:val="002F3733"/>
    <w:rsid w:val="002F4FB8"/>
    <w:rsid w:val="002F5096"/>
    <w:rsid w:val="00306895"/>
    <w:rsid w:val="00312B1F"/>
    <w:rsid w:val="00322C0C"/>
    <w:rsid w:val="00325AFF"/>
    <w:rsid w:val="00332E35"/>
    <w:rsid w:val="0033793A"/>
    <w:rsid w:val="00341637"/>
    <w:rsid w:val="003510A8"/>
    <w:rsid w:val="00354FAD"/>
    <w:rsid w:val="00384078"/>
    <w:rsid w:val="00394CBA"/>
    <w:rsid w:val="003A0A21"/>
    <w:rsid w:val="003A1FDC"/>
    <w:rsid w:val="003B6B06"/>
    <w:rsid w:val="003C0D42"/>
    <w:rsid w:val="003C7574"/>
    <w:rsid w:val="003D2AE3"/>
    <w:rsid w:val="003D3671"/>
    <w:rsid w:val="003F7FD3"/>
    <w:rsid w:val="0040511E"/>
    <w:rsid w:val="0041567D"/>
    <w:rsid w:val="0042415F"/>
    <w:rsid w:val="004430BA"/>
    <w:rsid w:val="004457AE"/>
    <w:rsid w:val="0049502A"/>
    <w:rsid w:val="004A3916"/>
    <w:rsid w:val="004A442D"/>
    <w:rsid w:val="004A770D"/>
    <w:rsid w:val="004F035C"/>
    <w:rsid w:val="004F47EA"/>
    <w:rsid w:val="005019D4"/>
    <w:rsid w:val="00504E39"/>
    <w:rsid w:val="00522407"/>
    <w:rsid w:val="00550447"/>
    <w:rsid w:val="005538FB"/>
    <w:rsid w:val="005574A6"/>
    <w:rsid w:val="00560FDA"/>
    <w:rsid w:val="00565FC7"/>
    <w:rsid w:val="0057047E"/>
    <w:rsid w:val="00572003"/>
    <w:rsid w:val="00574830"/>
    <w:rsid w:val="00594000"/>
    <w:rsid w:val="005B1B6E"/>
    <w:rsid w:val="005B37F6"/>
    <w:rsid w:val="005C2512"/>
    <w:rsid w:val="005C6DC1"/>
    <w:rsid w:val="005D628C"/>
    <w:rsid w:val="005F3049"/>
    <w:rsid w:val="005F732A"/>
    <w:rsid w:val="00604A2D"/>
    <w:rsid w:val="00607285"/>
    <w:rsid w:val="00613B75"/>
    <w:rsid w:val="00621E8A"/>
    <w:rsid w:val="0063233B"/>
    <w:rsid w:val="00634F98"/>
    <w:rsid w:val="00636884"/>
    <w:rsid w:val="0065664C"/>
    <w:rsid w:val="0067112D"/>
    <w:rsid w:val="0067425D"/>
    <w:rsid w:val="00680C54"/>
    <w:rsid w:val="00681D5F"/>
    <w:rsid w:val="00696C2A"/>
    <w:rsid w:val="006B213C"/>
    <w:rsid w:val="006B520C"/>
    <w:rsid w:val="006C702E"/>
    <w:rsid w:val="006D4107"/>
    <w:rsid w:val="006E2ED6"/>
    <w:rsid w:val="006E4138"/>
    <w:rsid w:val="0070513C"/>
    <w:rsid w:val="00707AC6"/>
    <w:rsid w:val="007233C1"/>
    <w:rsid w:val="00747F84"/>
    <w:rsid w:val="007523DD"/>
    <w:rsid w:val="00756232"/>
    <w:rsid w:val="00763ADF"/>
    <w:rsid w:val="00767C10"/>
    <w:rsid w:val="007810E0"/>
    <w:rsid w:val="0078718A"/>
    <w:rsid w:val="007B7FA9"/>
    <w:rsid w:val="007C6827"/>
    <w:rsid w:val="007E0875"/>
    <w:rsid w:val="007E1B9C"/>
    <w:rsid w:val="007E72FD"/>
    <w:rsid w:val="007F3709"/>
    <w:rsid w:val="007F6589"/>
    <w:rsid w:val="00807150"/>
    <w:rsid w:val="0080748C"/>
    <w:rsid w:val="00811616"/>
    <w:rsid w:val="008165C0"/>
    <w:rsid w:val="00817D6E"/>
    <w:rsid w:val="00824E1A"/>
    <w:rsid w:val="00827C29"/>
    <w:rsid w:val="00846C85"/>
    <w:rsid w:val="0085161E"/>
    <w:rsid w:val="00861401"/>
    <w:rsid w:val="0086602F"/>
    <w:rsid w:val="00867F7A"/>
    <w:rsid w:val="00870759"/>
    <w:rsid w:val="00870DE3"/>
    <w:rsid w:val="00881AB5"/>
    <w:rsid w:val="00882B5E"/>
    <w:rsid w:val="00887352"/>
    <w:rsid w:val="008A3CF7"/>
    <w:rsid w:val="008A56BD"/>
    <w:rsid w:val="008B04F7"/>
    <w:rsid w:val="008F4CED"/>
    <w:rsid w:val="00901BCC"/>
    <w:rsid w:val="00902501"/>
    <w:rsid w:val="00911E74"/>
    <w:rsid w:val="00917B8E"/>
    <w:rsid w:val="009223A6"/>
    <w:rsid w:val="00930860"/>
    <w:rsid w:val="00952907"/>
    <w:rsid w:val="0095607E"/>
    <w:rsid w:val="00970A32"/>
    <w:rsid w:val="00970B07"/>
    <w:rsid w:val="00975D90"/>
    <w:rsid w:val="0098215D"/>
    <w:rsid w:val="00993C29"/>
    <w:rsid w:val="009A0310"/>
    <w:rsid w:val="009A7426"/>
    <w:rsid w:val="009B3ED7"/>
    <w:rsid w:val="009D038B"/>
    <w:rsid w:val="009D4685"/>
    <w:rsid w:val="009E01F2"/>
    <w:rsid w:val="009E0D28"/>
    <w:rsid w:val="009F164A"/>
    <w:rsid w:val="009F3004"/>
    <w:rsid w:val="00A00569"/>
    <w:rsid w:val="00A04EE3"/>
    <w:rsid w:val="00A10548"/>
    <w:rsid w:val="00A113C5"/>
    <w:rsid w:val="00A12E60"/>
    <w:rsid w:val="00A21340"/>
    <w:rsid w:val="00A30CD6"/>
    <w:rsid w:val="00A31AF4"/>
    <w:rsid w:val="00A43365"/>
    <w:rsid w:val="00A701E4"/>
    <w:rsid w:val="00A82D50"/>
    <w:rsid w:val="00A85556"/>
    <w:rsid w:val="00A907C5"/>
    <w:rsid w:val="00A94E64"/>
    <w:rsid w:val="00AA0A7B"/>
    <w:rsid w:val="00AA2061"/>
    <w:rsid w:val="00AD2799"/>
    <w:rsid w:val="00AD78F2"/>
    <w:rsid w:val="00AE016B"/>
    <w:rsid w:val="00AE73D6"/>
    <w:rsid w:val="00AF6584"/>
    <w:rsid w:val="00B23D52"/>
    <w:rsid w:val="00B2545B"/>
    <w:rsid w:val="00B26C67"/>
    <w:rsid w:val="00B35AF4"/>
    <w:rsid w:val="00B41A44"/>
    <w:rsid w:val="00B41AA7"/>
    <w:rsid w:val="00B450BF"/>
    <w:rsid w:val="00B7459C"/>
    <w:rsid w:val="00B914C3"/>
    <w:rsid w:val="00B94B17"/>
    <w:rsid w:val="00B956DA"/>
    <w:rsid w:val="00BA7D5F"/>
    <w:rsid w:val="00BB7A2B"/>
    <w:rsid w:val="00BC04E1"/>
    <w:rsid w:val="00BC4984"/>
    <w:rsid w:val="00BC5054"/>
    <w:rsid w:val="00BE3354"/>
    <w:rsid w:val="00C03ABE"/>
    <w:rsid w:val="00C1282A"/>
    <w:rsid w:val="00C15E56"/>
    <w:rsid w:val="00C201C4"/>
    <w:rsid w:val="00C241C1"/>
    <w:rsid w:val="00C34DDF"/>
    <w:rsid w:val="00C40653"/>
    <w:rsid w:val="00C44C16"/>
    <w:rsid w:val="00C4531A"/>
    <w:rsid w:val="00C53CB8"/>
    <w:rsid w:val="00C54E00"/>
    <w:rsid w:val="00C60E75"/>
    <w:rsid w:val="00C62988"/>
    <w:rsid w:val="00C63667"/>
    <w:rsid w:val="00C643A7"/>
    <w:rsid w:val="00C854F9"/>
    <w:rsid w:val="00C87ED6"/>
    <w:rsid w:val="00C90620"/>
    <w:rsid w:val="00CA589C"/>
    <w:rsid w:val="00CB02EB"/>
    <w:rsid w:val="00CB0818"/>
    <w:rsid w:val="00CB7A45"/>
    <w:rsid w:val="00CC1E1F"/>
    <w:rsid w:val="00CC7718"/>
    <w:rsid w:val="00CD01EC"/>
    <w:rsid w:val="00CD5E41"/>
    <w:rsid w:val="00CD7F28"/>
    <w:rsid w:val="00CE7109"/>
    <w:rsid w:val="00D04742"/>
    <w:rsid w:val="00D1705E"/>
    <w:rsid w:val="00D42234"/>
    <w:rsid w:val="00D4500E"/>
    <w:rsid w:val="00D45319"/>
    <w:rsid w:val="00D468BE"/>
    <w:rsid w:val="00D50917"/>
    <w:rsid w:val="00D51061"/>
    <w:rsid w:val="00D57E4D"/>
    <w:rsid w:val="00D64268"/>
    <w:rsid w:val="00D67A78"/>
    <w:rsid w:val="00D743B4"/>
    <w:rsid w:val="00D804BE"/>
    <w:rsid w:val="00D86B14"/>
    <w:rsid w:val="00D9272B"/>
    <w:rsid w:val="00D93430"/>
    <w:rsid w:val="00D95528"/>
    <w:rsid w:val="00DB0FFD"/>
    <w:rsid w:val="00DB45E8"/>
    <w:rsid w:val="00DB5042"/>
    <w:rsid w:val="00DC164E"/>
    <w:rsid w:val="00DC5EF9"/>
    <w:rsid w:val="00DC6792"/>
    <w:rsid w:val="00DE5418"/>
    <w:rsid w:val="00DF2BC2"/>
    <w:rsid w:val="00DF5EBA"/>
    <w:rsid w:val="00E108EB"/>
    <w:rsid w:val="00E16367"/>
    <w:rsid w:val="00E1717D"/>
    <w:rsid w:val="00E21D96"/>
    <w:rsid w:val="00E328BB"/>
    <w:rsid w:val="00E37BD6"/>
    <w:rsid w:val="00E42B88"/>
    <w:rsid w:val="00E50376"/>
    <w:rsid w:val="00E600B7"/>
    <w:rsid w:val="00E61FB6"/>
    <w:rsid w:val="00E639F0"/>
    <w:rsid w:val="00E66C91"/>
    <w:rsid w:val="00E8035E"/>
    <w:rsid w:val="00EA775B"/>
    <w:rsid w:val="00EC01F2"/>
    <w:rsid w:val="00EC3155"/>
    <w:rsid w:val="00EC5F4F"/>
    <w:rsid w:val="00EC7786"/>
    <w:rsid w:val="00EC78C6"/>
    <w:rsid w:val="00EF1A55"/>
    <w:rsid w:val="00EF3C9F"/>
    <w:rsid w:val="00EF41A8"/>
    <w:rsid w:val="00EF6A26"/>
    <w:rsid w:val="00F03AE3"/>
    <w:rsid w:val="00F0687E"/>
    <w:rsid w:val="00F14ED1"/>
    <w:rsid w:val="00F156A1"/>
    <w:rsid w:val="00F217EA"/>
    <w:rsid w:val="00F23FED"/>
    <w:rsid w:val="00F4183B"/>
    <w:rsid w:val="00F50B93"/>
    <w:rsid w:val="00F528DD"/>
    <w:rsid w:val="00F7464C"/>
    <w:rsid w:val="00F87ED8"/>
    <w:rsid w:val="00F92EF2"/>
    <w:rsid w:val="00FA3C18"/>
    <w:rsid w:val="00FC59B9"/>
    <w:rsid w:val="00FC7487"/>
    <w:rsid w:val="00FD4FCD"/>
    <w:rsid w:val="00FD5CC3"/>
    <w:rsid w:val="00FE277E"/>
    <w:rsid w:val="00FF6C90"/>
    <w:rsid w:val="00FF7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B2B07"/>
  <w15:chartTrackingRefBased/>
  <w15:docId w15:val="{CD2FF0DA-B367-49AE-BE81-40DC2DAD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3FA"/>
  </w:style>
  <w:style w:type="paragraph" w:styleId="Footer">
    <w:name w:val="footer"/>
    <w:basedOn w:val="Normal"/>
    <w:link w:val="FooterChar"/>
    <w:uiPriority w:val="99"/>
    <w:unhideWhenUsed/>
    <w:rsid w:val="000963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3FA"/>
  </w:style>
  <w:style w:type="paragraph" w:styleId="FootnoteText">
    <w:name w:val="footnote text"/>
    <w:basedOn w:val="Normal"/>
    <w:link w:val="FootnoteTextChar"/>
    <w:uiPriority w:val="99"/>
    <w:semiHidden/>
    <w:unhideWhenUsed/>
    <w:rsid w:val="00096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FA"/>
    <w:rPr>
      <w:sz w:val="20"/>
      <w:szCs w:val="20"/>
    </w:rPr>
  </w:style>
  <w:style w:type="character" w:styleId="FootnoteReference">
    <w:name w:val="footnote reference"/>
    <w:basedOn w:val="DefaultParagraphFont"/>
    <w:uiPriority w:val="99"/>
    <w:semiHidden/>
    <w:unhideWhenUsed/>
    <w:rsid w:val="000963FA"/>
    <w:rPr>
      <w:vertAlign w:val="superscript"/>
    </w:rPr>
  </w:style>
  <w:style w:type="paragraph" w:styleId="EndnoteText">
    <w:name w:val="endnote text"/>
    <w:basedOn w:val="Normal"/>
    <w:link w:val="EndnoteTextChar"/>
    <w:uiPriority w:val="99"/>
    <w:semiHidden/>
    <w:unhideWhenUsed/>
    <w:rsid w:val="000963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3FA"/>
    <w:rPr>
      <w:sz w:val="20"/>
      <w:szCs w:val="20"/>
    </w:rPr>
  </w:style>
  <w:style w:type="character" w:styleId="EndnoteReference">
    <w:name w:val="endnote reference"/>
    <w:basedOn w:val="DefaultParagraphFont"/>
    <w:uiPriority w:val="99"/>
    <w:semiHidden/>
    <w:unhideWhenUsed/>
    <w:rsid w:val="000963FA"/>
    <w:rPr>
      <w:vertAlign w:val="superscript"/>
    </w:rPr>
  </w:style>
  <w:style w:type="paragraph" w:styleId="NoSpacing">
    <w:name w:val="No Spacing"/>
    <w:uiPriority w:val="1"/>
    <w:qFormat/>
    <w:rsid w:val="00011E72"/>
    <w:pPr>
      <w:spacing w:after="0" w:line="240" w:lineRule="auto"/>
    </w:pPr>
  </w:style>
  <w:style w:type="character" w:styleId="Hyperlink">
    <w:name w:val="Hyperlink"/>
    <w:basedOn w:val="DefaultParagraphFont"/>
    <w:uiPriority w:val="99"/>
    <w:unhideWhenUsed/>
    <w:rsid w:val="00135A57"/>
    <w:rPr>
      <w:color w:val="0563C1" w:themeColor="hyperlink"/>
      <w:u w:val="single"/>
    </w:rPr>
  </w:style>
  <w:style w:type="character" w:customStyle="1" w:styleId="UnresolvedMention1">
    <w:name w:val="Unresolved Mention1"/>
    <w:basedOn w:val="DefaultParagraphFont"/>
    <w:uiPriority w:val="99"/>
    <w:semiHidden/>
    <w:unhideWhenUsed/>
    <w:rsid w:val="00135A57"/>
    <w:rPr>
      <w:color w:val="605E5C"/>
      <w:shd w:val="clear" w:color="auto" w:fill="E1DFDD"/>
    </w:rPr>
  </w:style>
  <w:style w:type="character" w:styleId="CommentReference">
    <w:name w:val="annotation reference"/>
    <w:basedOn w:val="DefaultParagraphFont"/>
    <w:uiPriority w:val="99"/>
    <w:semiHidden/>
    <w:unhideWhenUsed/>
    <w:rsid w:val="004A770D"/>
    <w:rPr>
      <w:sz w:val="16"/>
      <w:szCs w:val="16"/>
    </w:rPr>
  </w:style>
  <w:style w:type="paragraph" w:styleId="CommentText">
    <w:name w:val="annotation text"/>
    <w:basedOn w:val="Normal"/>
    <w:link w:val="CommentTextChar"/>
    <w:uiPriority w:val="99"/>
    <w:semiHidden/>
    <w:unhideWhenUsed/>
    <w:rsid w:val="004A770D"/>
    <w:pPr>
      <w:spacing w:line="240" w:lineRule="auto"/>
    </w:pPr>
    <w:rPr>
      <w:sz w:val="20"/>
      <w:szCs w:val="20"/>
    </w:rPr>
  </w:style>
  <w:style w:type="character" w:customStyle="1" w:styleId="CommentTextChar">
    <w:name w:val="Comment Text Char"/>
    <w:basedOn w:val="DefaultParagraphFont"/>
    <w:link w:val="CommentText"/>
    <w:uiPriority w:val="99"/>
    <w:semiHidden/>
    <w:rsid w:val="004A770D"/>
    <w:rPr>
      <w:sz w:val="20"/>
      <w:szCs w:val="20"/>
    </w:rPr>
  </w:style>
  <w:style w:type="paragraph" w:styleId="CommentSubject">
    <w:name w:val="annotation subject"/>
    <w:basedOn w:val="CommentText"/>
    <w:next w:val="CommentText"/>
    <w:link w:val="CommentSubjectChar"/>
    <w:uiPriority w:val="99"/>
    <w:semiHidden/>
    <w:unhideWhenUsed/>
    <w:rsid w:val="004A770D"/>
    <w:rPr>
      <w:b/>
      <w:bCs/>
    </w:rPr>
  </w:style>
  <w:style w:type="character" w:customStyle="1" w:styleId="CommentSubjectChar">
    <w:name w:val="Comment Subject Char"/>
    <w:basedOn w:val="CommentTextChar"/>
    <w:link w:val="CommentSubject"/>
    <w:uiPriority w:val="99"/>
    <w:semiHidden/>
    <w:rsid w:val="004A770D"/>
    <w:rPr>
      <w:b/>
      <w:bCs/>
      <w:sz w:val="20"/>
      <w:szCs w:val="20"/>
    </w:rPr>
  </w:style>
  <w:style w:type="paragraph" w:styleId="BalloonText">
    <w:name w:val="Balloon Text"/>
    <w:basedOn w:val="Normal"/>
    <w:link w:val="BalloonTextChar"/>
    <w:uiPriority w:val="99"/>
    <w:semiHidden/>
    <w:unhideWhenUsed/>
    <w:rsid w:val="004A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0D"/>
    <w:rPr>
      <w:rFonts w:ascii="Segoe UI" w:hAnsi="Segoe UI" w:cs="Segoe UI"/>
      <w:sz w:val="18"/>
      <w:szCs w:val="18"/>
    </w:rPr>
  </w:style>
  <w:style w:type="paragraph" w:customStyle="1" w:styleId="Default">
    <w:name w:val="Default"/>
    <w:rsid w:val="00B26C67"/>
    <w:pPr>
      <w:autoSpaceDE w:val="0"/>
      <w:autoSpaceDN w:val="0"/>
      <w:adjustRightInd w:val="0"/>
      <w:spacing w:after="0" w:line="240" w:lineRule="auto"/>
    </w:pPr>
    <w:rPr>
      <w:rFonts w:ascii="Calibri" w:hAnsi="Calibri" w:cs="Calibri"/>
      <w:color w:val="000000"/>
      <w:sz w:val="24"/>
      <w:szCs w:val="24"/>
      <w:lang w:val="fr-FR"/>
    </w:rPr>
  </w:style>
  <w:style w:type="character" w:customStyle="1" w:styleId="UnresolvedMention2">
    <w:name w:val="Unresolved Mention2"/>
    <w:basedOn w:val="DefaultParagraphFont"/>
    <w:uiPriority w:val="99"/>
    <w:semiHidden/>
    <w:unhideWhenUsed/>
    <w:rsid w:val="00B26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686">
      <w:bodyDiv w:val="1"/>
      <w:marLeft w:val="0"/>
      <w:marRight w:val="0"/>
      <w:marTop w:val="0"/>
      <w:marBottom w:val="0"/>
      <w:divBdr>
        <w:top w:val="none" w:sz="0" w:space="0" w:color="auto"/>
        <w:left w:val="none" w:sz="0" w:space="0" w:color="auto"/>
        <w:bottom w:val="none" w:sz="0" w:space="0" w:color="auto"/>
        <w:right w:val="none" w:sz="0" w:space="0" w:color="auto"/>
      </w:divBdr>
    </w:div>
    <w:div w:id="195394085">
      <w:bodyDiv w:val="1"/>
      <w:marLeft w:val="0"/>
      <w:marRight w:val="0"/>
      <w:marTop w:val="0"/>
      <w:marBottom w:val="0"/>
      <w:divBdr>
        <w:top w:val="none" w:sz="0" w:space="0" w:color="auto"/>
        <w:left w:val="none" w:sz="0" w:space="0" w:color="auto"/>
        <w:bottom w:val="none" w:sz="0" w:space="0" w:color="auto"/>
        <w:right w:val="none" w:sz="0" w:space="0" w:color="auto"/>
      </w:divBdr>
    </w:div>
    <w:div w:id="469440825">
      <w:bodyDiv w:val="1"/>
      <w:marLeft w:val="0"/>
      <w:marRight w:val="0"/>
      <w:marTop w:val="0"/>
      <w:marBottom w:val="0"/>
      <w:divBdr>
        <w:top w:val="none" w:sz="0" w:space="0" w:color="auto"/>
        <w:left w:val="none" w:sz="0" w:space="0" w:color="auto"/>
        <w:bottom w:val="none" w:sz="0" w:space="0" w:color="auto"/>
        <w:right w:val="none" w:sz="0" w:space="0" w:color="auto"/>
      </w:divBdr>
    </w:div>
    <w:div w:id="565069829">
      <w:bodyDiv w:val="1"/>
      <w:marLeft w:val="0"/>
      <w:marRight w:val="0"/>
      <w:marTop w:val="0"/>
      <w:marBottom w:val="0"/>
      <w:divBdr>
        <w:top w:val="none" w:sz="0" w:space="0" w:color="auto"/>
        <w:left w:val="none" w:sz="0" w:space="0" w:color="auto"/>
        <w:bottom w:val="none" w:sz="0" w:space="0" w:color="auto"/>
        <w:right w:val="none" w:sz="0" w:space="0" w:color="auto"/>
      </w:divBdr>
    </w:div>
    <w:div w:id="914166726">
      <w:bodyDiv w:val="1"/>
      <w:marLeft w:val="0"/>
      <w:marRight w:val="0"/>
      <w:marTop w:val="0"/>
      <w:marBottom w:val="0"/>
      <w:divBdr>
        <w:top w:val="none" w:sz="0" w:space="0" w:color="auto"/>
        <w:left w:val="none" w:sz="0" w:space="0" w:color="auto"/>
        <w:bottom w:val="none" w:sz="0" w:space="0" w:color="auto"/>
        <w:right w:val="none" w:sz="0" w:space="0" w:color="auto"/>
      </w:divBdr>
    </w:div>
    <w:div w:id="956528010">
      <w:bodyDiv w:val="1"/>
      <w:marLeft w:val="0"/>
      <w:marRight w:val="0"/>
      <w:marTop w:val="0"/>
      <w:marBottom w:val="0"/>
      <w:divBdr>
        <w:top w:val="none" w:sz="0" w:space="0" w:color="auto"/>
        <w:left w:val="none" w:sz="0" w:space="0" w:color="auto"/>
        <w:bottom w:val="none" w:sz="0" w:space="0" w:color="auto"/>
        <w:right w:val="none" w:sz="0" w:space="0" w:color="auto"/>
      </w:divBdr>
    </w:div>
    <w:div w:id="1061103131">
      <w:bodyDiv w:val="1"/>
      <w:marLeft w:val="0"/>
      <w:marRight w:val="0"/>
      <w:marTop w:val="0"/>
      <w:marBottom w:val="0"/>
      <w:divBdr>
        <w:top w:val="none" w:sz="0" w:space="0" w:color="auto"/>
        <w:left w:val="none" w:sz="0" w:space="0" w:color="auto"/>
        <w:bottom w:val="none" w:sz="0" w:space="0" w:color="auto"/>
        <w:right w:val="none" w:sz="0" w:space="0" w:color="auto"/>
      </w:divBdr>
      <w:divsChild>
        <w:div w:id="801507641">
          <w:marLeft w:val="0"/>
          <w:marRight w:val="0"/>
          <w:marTop w:val="0"/>
          <w:marBottom w:val="0"/>
          <w:divBdr>
            <w:top w:val="none" w:sz="0" w:space="0" w:color="auto"/>
            <w:left w:val="none" w:sz="0" w:space="0" w:color="auto"/>
            <w:bottom w:val="none" w:sz="0" w:space="0" w:color="auto"/>
            <w:right w:val="none" w:sz="0" w:space="0" w:color="auto"/>
          </w:divBdr>
        </w:div>
        <w:div w:id="1499072494">
          <w:marLeft w:val="0"/>
          <w:marRight w:val="0"/>
          <w:marTop w:val="0"/>
          <w:marBottom w:val="0"/>
          <w:divBdr>
            <w:top w:val="none" w:sz="0" w:space="0" w:color="auto"/>
            <w:left w:val="none" w:sz="0" w:space="0" w:color="auto"/>
            <w:bottom w:val="none" w:sz="0" w:space="0" w:color="auto"/>
            <w:right w:val="none" w:sz="0" w:space="0" w:color="auto"/>
          </w:divBdr>
        </w:div>
      </w:divsChild>
    </w:div>
    <w:div w:id="1437286399">
      <w:bodyDiv w:val="1"/>
      <w:marLeft w:val="0"/>
      <w:marRight w:val="0"/>
      <w:marTop w:val="0"/>
      <w:marBottom w:val="0"/>
      <w:divBdr>
        <w:top w:val="none" w:sz="0" w:space="0" w:color="auto"/>
        <w:left w:val="none" w:sz="0" w:space="0" w:color="auto"/>
        <w:bottom w:val="none" w:sz="0" w:space="0" w:color="auto"/>
        <w:right w:val="none" w:sz="0" w:space="0" w:color="auto"/>
      </w:divBdr>
    </w:div>
    <w:div w:id="1473214884">
      <w:bodyDiv w:val="1"/>
      <w:marLeft w:val="0"/>
      <w:marRight w:val="0"/>
      <w:marTop w:val="0"/>
      <w:marBottom w:val="0"/>
      <w:divBdr>
        <w:top w:val="none" w:sz="0" w:space="0" w:color="auto"/>
        <w:left w:val="none" w:sz="0" w:space="0" w:color="auto"/>
        <w:bottom w:val="none" w:sz="0" w:space="0" w:color="auto"/>
        <w:right w:val="none" w:sz="0" w:space="0" w:color="auto"/>
      </w:divBdr>
    </w:div>
    <w:div w:id="20460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hagen@frontclea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ontclea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E1F947FEF728428672C2214C3AFC72" ma:contentTypeVersion="10" ma:contentTypeDescription="Create a new document." ma:contentTypeScope="" ma:versionID="d614538474210972b126a02d9ed434e1">
  <xsd:schema xmlns:xsd="http://www.w3.org/2001/XMLSchema" xmlns:xs="http://www.w3.org/2001/XMLSchema" xmlns:p="http://schemas.microsoft.com/office/2006/metadata/properties" xmlns:ns2="3fb65aac-e88b-4d11-8c6f-f1bc356324f0" targetNamespace="http://schemas.microsoft.com/office/2006/metadata/properties" ma:root="true" ma:fieldsID="c3409a5dfd547b427565187ff5b99f54" ns2:_="">
    <xsd:import namespace="3fb65aac-e88b-4d11-8c6f-f1bc35632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65aac-e88b-4d11-8c6f-f1bc3563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00A9-ED1C-450D-AB7F-2B69695BF94A}">
  <ds:schemaRefs>
    <ds:schemaRef ds:uri="http://schemas.microsoft.com/sharepoint/v3/contenttype/forms"/>
  </ds:schemaRefs>
</ds:datastoreItem>
</file>

<file path=customXml/itemProps2.xml><?xml version="1.0" encoding="utf-8"?>
<ds:datastoreItem xmlns:ds="http://schemas.openxmlformats.org/officeDocument/2006/customXml" ds:itemID="{FCA0B873-B17B-4F43-8809-EDFABF547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BAC5B-DC4D-48C3-88D5-F49962FB2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65aac-e88b-4d11-8c6f-f1bc35632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646E5-F0A5-413D-BE69-C245B3BD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875</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Jurriaan Oosterman</dc:creator>
  <cp:keywords/>
  <dc:description/>
  <cp:lastModifiedBy>Ingrid Hagen</cp:lastModifiedBy>
  <cp:revision>4</cp:revision>
  <cp:lastPrinted>2018-12-04T12:59:00Z</cp:lastPrinted>
  <dcterms:created xsi:type="dcterms:W3CDTF">2020-01-29T14:50:00Z</dcterms:created>
  <dcterms:modified xsi:type="dcterms:W3CDTF">2020-01-29T15:21:00Z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0x01010086E1F947FEF728428672C2214C3AFC72</vt:lpwstr>
  </property>
  <property fmtid="{D5CDD505-2E9C-101B-9397-08002B2CF9AE}" pid="3" name="MSIP_Label_38cf6908-c9f1-4b37-8fe9-5e4296368d31_Enabled">
    <vt:lpwstr>True</vt:lpwstr>
  </property>
  <property fmtid="{D5CDD505-2E9C-101B-9397-08002B2CF9AE}" pid="4" name="MSIP_Label_38cf6908-c9f1-4b37-8fe9-5e4296368d31_SiteId">
    <vt:lpwstr>9dfc36c3-b5c1-4129-be98-ec7e4df78702</vt:lpwstr>
  </property>
  <property fmtid="{D5CDD505-2E9C-101B-9397-08002B2CF9AE}" pid="5" name="MSIP_Label_38cf6908-c9f1-4b37-8fe9-5e4296368d31_Owner">
    <vt:lpwstr>byamoah@myfidelitybank.net</vt:lpwstr>
  </property>
  <property fmtid="{D5CDD505-2E9C-101B-9397-08002B2CF9AE}" pid="6" name="MSIP_Label_38cf6908-c9f1-4b37-8fe9-5e4296368d31_SetDate">
    <vt:lpwstr>2020-01-14T08:40:26.7568997Z</vt:lpwstr>
  </property>
  <property fmtid="{D5CDD505-2E9C-101B-9397-08002B2CF9AE}" pid="7" name="MSIP_Label_38cf6908-c9f1-4b37-8fe9-5e4296368d31_Name">
    <vt:lpwstr>Public</vt:lpwstr>
  </property>
  <property fmtid="{D5CDD505-2E9C-101B-9397-08002B2CF9AE}" pid="8" name="MSIP_Label_38cf6908-c9f1-4b37-8fe9-5e4296368d31_Application">
    <vt:lpwstr>Microsoft Azure Information Protection</vt:lpwstr>
  </property>
  <property fmtid="{D5CDD505-2E9C-101B-9397-08002B2CF9AE}" pid="9" name="MSIP_Label_38cf6908-c9f1-4b37-8fe9-5e4296368d31_Extended_MSFT_Method">
    <vt:lpwstr>Manual</vt:lpwstr>
  </property>
  <property fmtid="{D5CDD505-2E9C-101B-9397-08002B2CF9AE}" pid="10" name="MSIP_Label_a401b303-ecb1-4a9d-936a-70858c2d9a3e_Enabled">
    <vt:lpwstr>True</vt:lpwstr>
  </property>
  <property fmtid="{D5CDD505-2E9C-101B-9397-08002B2CF9AE}" pid="11" name="MSIP_Label_a401b303-ecb1-4a9d-936a-70858c2d9a3e_SiteId">
    <vt:lpwstr>c9a7d621-4bc4-4407-b730-f428e656aa9e</vt:lpwstr>
  </property>
  <property fmtid="{D5CDD505-2E9C-101B-9397-08002B2CF9AE}" pid="12" name="MSIP_Label_a401b303-ecb1-4a9d-936a-70858c2d9a3e_Owner">
    <vt:lpwstr>alexandre.visentin@sgcib.com</vt:lpwstr>
  </property>
  <property fmtid="{D5CDD505-2E9C-101B-9397-08002B2CF9AE}" pid="13" name="MSIP_Label_a401b303-ecb1-4a9d-936a-70858c2d9a3e_SetDate">
    <vt:lpwstr>2020-01-07T13:46:13.0346150Z</vt:lpwstr>
  </property>
  <property fmtid="{D5CDD505-2E9C-101B-9397-08002B2CF9AE}" pid="14" name="MSIP_Label_a401b303-ecb1-4a9d-936a-70858c2d9a3e_Name">
    <vt:lpwstr>C1 - Restricted</vt:lpwstr>
  </property>
  <property fmtid="{D5CDD505-2E9C-101B-9397-08002B2CF9AE}" pid="15" name="MSIP_Label_a401b303-ecb1-4a9d-936a-70858c2d9a3e_Application">
    <vt:lpwstr>Microsoft Azure Information Protection</vt:lpwstr>
  </property>
  <property fmtid="{D5CDD505-2E9C-101B-9397-08002B2CF9AE}" pid="16" name="MSIP_Label_a401b303-ecb1-4a9d-936a-70858c2d9a3e_Extended_MSFT_Method">
    <vt:lpwstr>Manual</vt:lpwstr>
  </property>
  <property fmtid="{D5CDD505-2E9C-101B-9397-08002B2CF9AE}" pid="17" name="Sensitivity">
    <vt:lpwstr>Public C1 - Restricted</vt:lpwstr>
  </property>
</Properties>
</file>